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1E" w:rsidRDefault="00C77B1E" w:rsidP="00C77B1E">
      <w:pPr>
        <w:pStyle w:val="paragraph"/>
        <w:textAlignment w:val="baseline"/>
        <w:rPr>
          <w:b/>
          <w:bCs/>
          <w:lang w:val="fi-FI"/>
        </w:rPr>
      </w:pPr>
      <w:proofErr w:type="spellStart"/>
      <w:proofErr w:type="gramStart"/>
      <w:r>
        <w:rPr>
          <w:rStyle w:val="spellingerror"/>
          <w:rFonts w:ascii="Tahoma" w:hAnsi="Tahoma" w:cs="Tahoma"/>
          <w:b/>
          <w:bCs/>
          <w:sz w:val="32"/>
          <w:szCs w:val="32"/>
          <w:lang w:val="fi-FI"/>
        </w:rPr>
        <w:t>Hankkeen:SOTE</w:t>
      </w:r>
      <w:proofErr w:type="gramEnd"/>
      <w:r>
        <w:rPr>
          <w:rStyle w:val="spellingerror"/>
          <w:rFonts w:ascii="Tahoma" w:hAnsi="Tahoma" w:cs="Tahoma"/>
          <w:b/>
          <w:bCs/>
          <w:sz w:val="32"/>
          <w:szCs w:val="32"/>
          <w:lang w:val="fi-FI"/>
        </w:rPr>
        <w:t>-Y-Akatemia</w:t>
      </w:r>
      <w:proofErr w:type="spellEnd"/>
      <w:r>
        <w:rPr>
          <w:rStyle w:val="normaltextrun1"/>
          <w:rFonts w:ascii="Tahoma" w:hAnsi="Tahoma" w:cs="Tahoma"/>
          <w:b/>
          <w:bCs/>
          <w:sz w:val="32"/>
          <w:szCs w:val="32"/>
          <w:lang w:val="fi-FI"/>
        </w:rPr>
        <w:t xml:space="preserve">    28.1.2020</w:t>
      </w:r>
      <w:r>
        <w:rPr>
          <w:rStyle w:val="eop"/>
          <w:rFonts w:ascii="Tahoma" w:hAnsi="Tahoma" w:cs="Tahoma"/>
          <w:b/>
          <w:bCs/>
          <w:sz w:val="32"/>
          <w:szCs w:val="3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b/>
          <w:bCs/>
          <w:lang w:val="fi-FI"/>
        </w:rPr>
      </w:pPr>
      <w:r>
        <w:rPr>
          <w:rStyle w:val="normaltextrun1"/>
          <w:rFonts w:ascii="Tahoma" w:hAnsi="Tahoma" w:cs="Tahoma"/>
          <w:b/>
          <w:bCs/>
          <w:sz w:val="32"/>
          <w:szCs w:val="32"/>
          <w:lang w:val="fi-FI"/>
        </w:rPr>
        <w:t>Sisäinen aloituspalaveri</w:t>
      </w:r>
      <w:r>
        <w:rPr>
          <w:rStyle w:val="eop"/>
          <w:rFonts w:ascii="Tahoma" w:hAnsi="Tahoma" w:cs="Tahoma"/>
          <w:b/>
          <w:bCs/>
          <w:sz w:val="32"/>
          <w:szCs w:val="3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"/>
        </w:numPr>
        <w:ind w:left="0" w:firstLine="0"/>
        <w:textAlignment w:val="baseline"/>
        <w:rPr>
          <w:rFonts w:ascii="Tahoma" w:hAnsi="Tahoma" w:cs="Tahoma"/>
          <w:caps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caps/>
          <w:sz w:val="22"/>
          <w:szCs w:val="22"/>
          <w:lang w:val="fi-FI"/>
        </w:rPr>
        <w:t>osallistujat</w:t>
      </w:r>
      <w:r>
        <w:rPr>
          <w:rStyle w:val="eop"/>
          <w:rFonts w:ascii="Tahoma" w:hAnsi="Tahoma" w:cs="Tahoma"/>
          <w:caps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1290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Pakolliset: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259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Projektipäällikkö Susanne Hämäläinen (puheenjohtaja)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259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Projektisihteeri Anna </w:t>
      </w:r>
      <w:r>
        <w:rPr>
          <w:rStyle w:val="spellingerror"/>
          <w:rFonts w:ascii="Tahoma" w:hAnsi="Tahoma" w:cs="Tahoma"/>
          <w:sz w:val="22"/>
          <w:szCs w:val="22"/>
          <w:lang w:val="fi-FI"/>
        </w:rPr>
        <w:t>Ageeva</w:t>
      </w: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(sihteeri)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259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TK-päällikkö Petteri Jääskeläinen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259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Kirsi </w:t>
      </w:r>
      <w:r>
        <w:rPr>
          <w:rStyle w:val="spellingerror"/>
          <w:rFonts w:ascii="Tahoma" w:hAnsi="Tahoma" w:cs="Tahoma"/>
          <w:sz w:val="22"/>
          <w:szCs w:val="22"/>
          <w:lang w:val="fi-FI"/>
        </w:rPr>
        <w:t>Koistinen,</w:t>
      </w:r>
      <w:r w:rsidR="00B94A50">
        <w:rPr>
          <w:rStyle w:val="spellingerror"/>
          <w:rFonts w:ascii="Tahoma" w:hAnsi="Tahoma" w:cs="Tahoma"/>
          <w:sz w:val="22"/>
          <w:szCs w:val="22"/>
          <w:lang w:val="fi-FI"/>
        </w:rPr>
        <w:t xml:space="preserve"> </w:t>
      </w:r>
      <w:r>
        <w:rPr>
          <w:rStyle w:val="spellingerror"/>
          <w:rFonts w:ascii="Tahoma" w:hAnsi="Tahoma" w:cs="Tahoma"/>
          <w:sz w:val="22"/>
          <w:szCs w:val="22"/>
          <w:lang w:val="fi-FI"/>
        </w:rPr>
        <w:t>PAOK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259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Jari-Pekka Jääskeläinen, Savonia-amk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259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Paula </w:t>
      </w:r>
      <w:r>
        <w:rPr>
          <w:rStyle w:val="spellingerror"/>
          <w:rFonts w:ascii="Tahoma" w:hAnsi="Tahoma" w:cs="Tahoma"/>
          <w:sz w:val="22"/>
          <w:szCs w:val="22"/>
          <w:lang w:val="fi-FI"/>
        </w:rPr>
        <w:t>Puhilas</w:t>
      </w:r>
      <w:r>
        <w:rPr>
          <w:rStyle w:val="normaltextrun1"/>
          <w:rFonts w:ascii="Tahoma" w:hAnsi="Tahoma" w:cs="Tahoma"/>
          <w:sz w:val="22"/>
          <w:szCs w:val="22"/>
          <w:lang w:val="fi-FI"/>
        </w:rPr>
        <w:t>, Savonia-amk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259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Ulla Piipponen, Savonia-amk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"/>
        </w:numPr>
        <w:ind w:left="0" w:firstLine="0"/>
        <w:textAlignment w:val="baseline"/>
        <w:rPr>
          <w:rFonts w:ascii="Tahoma" w:hAnsi="Tahoma" w:cs="Tahoma"/>
          <w:caps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caps/>
          <w:sz w:val="22"/>
          <w:szCs w:val="22"/>
          <w:lang w:val="fi-FI"/>
        </w:rPr>
        <w:t>hankkeen tarkoitus</w:t>
      </w:r>
      <w:r>
        <w:rPr>
          <w:rStyle w:val="eop"/>
          <w:rFonts w:ascii="Tahoma" w:hAnsi="Tahoma" w:cs="Tahoma"/>
          <w:caps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Lyhyt kuvaus hankkeen tarkoituksesta, miksi Savonia on mukana/vetämässä hanketta.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Joustavien koulutusmoduuleiden tuottaminen kohderyhmille: yrittäjyyttä harkitseville, </w:t>
      </w:r>
      <w:proofErr w:type="spellStart"/>
      <w:r>
        <w:rPr>
          <w:rStyle w:val="normaltextrun1"/>
          <w:rFonts w:ascii="Tahoma" w:hAnsi="Tahoma" w:cs="Tahoma"/>
          <w:sz w:val="22"/>
          <w:szCs w:val="22"/>
          <w:lang w:val="fi-FI"/>
        </w:rPr>
        <w:t>sote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- yrittäjinä toimiville, yrittäjyyttä harkitseville </w:t>
      </w:r>
      <w:proofErr w:type="spellStart"/>
      <w:r>
        <w:rPr>
          <w:rStyle w:val="normaltextrun1"/>
          <w:rFonts w:ascii="Tahoma" w:hAnsi="Tahoma" w:cs="Tahoma"/>
          <w:sz w:val="22"/>
          <w:szCs w:val="22"/>
          <w:lang w:val="fi-FI"/>
        </w:rPr>
        <w:t>sote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>-opiskelijoille, yritysneuvontaa antaville ammattilaisille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Tarve on noussut mm. SOPIEN- hankkeen kautta, sekä </w:t>
      </w:r>
      <w:r w:rsidR="00B94A50">
        <w:rPr>
          <w:rStyle w:val="normaltextrun1"/>
          <w:rFonts w:ascii="Tahoma" w:hAnsi="Tahoma" w:cs="Tahoma"/>
          <w:sz w:val="22"/>
          <w:szCs w:val="22"/>
          <w:lang w:val="fi-FI"/>
        </w:rPr>
        <w:t xml:space="preserve">noussut esille keskusteluissa </w:t>
      </w:r>
      <w:r>
        <w:rPr>
          <w:rStyle w:val="normaltextrun1"/>
          <w:rFonts w:ascii="Tahoma" w:hAnsi="Tahoma" w:cs="Tahoma"/>
          <w:sz w:val="22"/>
          <w:szCs w:val="22"/>
          <w:lang w:val="fi-FI"/>
        </w:rPr>
        <w:t>kentäl</w:t>
      </w:r>
      <w:r w:rsidR="00B94A50">
        <w:rPr>
          <w:rStyle w:val="normaltextrun1"/>
          <w:rFonts w:ascii="Tahoma" w:hAnsi="Tahoma" w:cs="Tahoma"/>
          <w:sz w:val="22"/>
          <w:szCs w:val="22"/>
          <w:lang w:val="fi-FI"/>
        </w:rPr>
        <w:t>lä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Savonia-amk:lla idea kehitetty, monialaisuus vahvasti taustalla 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Kohderyhmiä voidaan tavoittaa SOPIEN hankkeen kautta, </w:t>
      </w: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wellness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- opintoja opiskelevista; </w:t>
      </w: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green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</w:t>
      </w: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care-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yrittäjät; 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PAOKilla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perustutkinto-opiskelijoilla on yritystoimintaan liittyviä tutkinnonosia, myös voi valinnaisena ottaa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Voidaanko vertaisoppimista mahdollistaa hankkeessa – pohdintaa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Oppimisympäristö voi koostua monikanavaisesti muodostuvista helposti toteutettavista paloista. Olemassa on jo paljon perusmateriaalia, </w:t>
      </w:r>
      <w:proofErr w:type="spellStart"/>
      <w:r>
        <w:rPr>
          <w:rStyle w:val="normaltextrun1"/>
          <w:rFonts w:ascii="Tahoma" w:hAnsi="Tahoma" w:cs="Tahoma"/>
          <w:sz w:val="22"/>
          <w:szCs w:val="22"/>
          <w:lang w:val="fi-FI"/>
        </w:rPr>
        <w:t>sote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- syventävä puuttuu. Tarkistettava käyttöoikeudet jne. Selkokielisyys ja saavutettavuus. 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Yhtymäkohtia mm. </w:t>
      </w: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NewTech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; </w:t>
      </w: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WelTech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; Robotiikka; 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4"/>
        </w:numPr>
        <w:ind w:left="0" w:firstLine="0"/>
        <w:textAlignment w:val="baseline"/>
        <w:rPr>
          <w:rFonts w:ascii="Tahoma" w:hAnsi="Tahoma" w:cs="Tahoma"/>
          <w:caps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caps/>
          <w:sz w:val="22"/>
          <w:szCs w:val="22"/>
          <w:lang w:val="fi-FI"/>
        </w:rPr>
        <w:t>rahoituspäätös</w:t>
      </w:r>
      <w:r>
        <w:rPr>
          <w:rStyle w:val="eop"/>
          <w:rFonts w:ascii="Tahoma" w:hAnsi="Tahoma" w:cs="Tahoma"/>
          <w:caps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Todetaan rahoituspäätöksen sisältö ja vertailu hakemuksen sisältöön.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5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Sisältö on sama, hankehakemuksessa ja päätöksessä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5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Huomioitavaa: kustannukset hyväksyttiin </w:t>
      </w: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alv:a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</w:t>
      </w:r>
      <w:proofErr w:type="spellStart"/>
      <w:proofErr w:type="gramStart"/>
      <w:r>
        <w:rPr>
          <w:rStyle w:val="spellingerror"/>
          <w:rFonts w:ascii="Tahoma" w:hAnsi="Tahoma" w:cs="Tahoma"/>
          <w:sz w:val="22"/>
          <w:szCs w:val="22"/>
          <w:lang w:val="fi-FI"/>
        </w:rPr>
        <w:t>lukuunottamatta</w:t>
      </w:r>
      <w:proofErr w:type="spellEnd"/>
      <w:proofErr w:type="gram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. Ministeriössä menossa linjauksessa ja voi muuttua. 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Todetaan ja kirjataan rahoittajan vaatimukset ja ohjeet hallinnoinnista (rahoitus, raportointi, maksatukset, ohjausryhmä, talousseuranta jne.)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6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ELYssä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käyty aloituskokous, josta muistio on toimitettu toteuttajille. 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6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ESR ohjeet rakennerahastot – sivuilla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6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Kirjataan projektiin osallistuvat kumppanit, heidän roolinsa projektissa ja yhteyshenkilönsä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7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PAOK, osatoteuttaja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7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Rooli, hakemuksen sivu 25-26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8"/>
        </w:numPr>
        <w:ind w:left="108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8"/>
        </w:numPr>
        <w:ind w:left="108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9"/>
        </w:numPr>
        <w:ind w:left="0" w:firstLine="0"/>
        <w:textAlignment w:val="baseline"/>
        <w:rPr>
          <w:rFonts w:ascii="Tahoma" w:hAnsi="Tahoma" w:cs="Tahoma"/>
          <w:caps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caps/>
          <w:sz w:val="22"/>
          <w:szCs w:val="22"/>
          <w:lang w:val="fi-FI"/>
        </w:rPr>
        <w:t>Projektisuunnitelma</w:t>
      </w:r>
      <w:r>
        <w:rPr>
          <w:rStyle w:val="eop"/>
          <w:rFonts w:ascii="Tahoma" w:hAnsi="Tahoma" w:cs="Tahoma"/>
          <w:caps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Aikataulu ja projektin vaiheistus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0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lastRenderedPageBreak/>
        <w:t>3v, 2022 loppuun saakka hankkeen kesto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Resurssit/projektiryhmä, jäsenten roolit projektissa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1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Projplkö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Susanne Hämäläinen, </w:t>
      </w:r>
      <w:proofErr w:type="spellStart"/>
      <w:r>
        <w:rPr>
          <w:rStyle w:val="normaltextrun1"/>
          <w:rFonts w:ascii="Tahoma" w:hAnsi="Tahoma" w:cs="Tahoma"/>
          <w:sz w:val="22"/>
          <w:szCs w:val="22"/>
          <w:lang w:val="fi-FI"/>
        </w:rPr>
        <w:t>sote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>- alan asiantuntija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1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J-P jääskeläinen, yrittäjyysasiantuntija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1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Digi- ja verkkopedagogiikka Paula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1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Monialaisuus, käyttäjälähtöisyys Ulla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1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Puhdistuspalveluala, kotityöpalveluala Kirsi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Pr="00B94A50" w:rsidRDefault="00C77B1E" w:rsidP="006A5B75">
      <w:pPr>
        <w:pStyle w:val="paragraph"/>
        <w:numPr>
          <w:ilvl w:val="0"/>
          <w:numId w:val="11"/>
        </w:numPr>
        <w:ind w:left="360" w:firstLine="0"/>
        <w:textAlignment w:val="baseline"/>
        <w:rPr>
          <w:lang w:val="fi-FI"/>
        </w:rPr>
      </w:pPr>
      <w:r w:rsidRPr="00B94A50">
        <w:rPr>
          <w:rStyle w:val="normaltextrun1"/>
          <w:rFonts w:ascii="Tahoma" w:hAnsi="Tahoma" w:cs="Tahoma"/>
          <w:sz w:val="22"/>
          <w:szCs w:val="22"/>
          <w:lang w:val="fi-FI"/>
        </w:rPr>
        <w:t xml:space="preserve">talous projektisihteeri Anna </w:t>
      </w:r>
      <w:r w:rsidRPr="00B94A50">
        <w:rPr>
          <w:rStyle w:val="spellingerror"/>
          <w:rFonts w:ascii="Tahoma" w:hAnsi="Tahoma" w:cs="Tahoma"/>
          <w:sz w:val="22"/>
          <w:szCs w:val="22"/>
          <w:lang w:val="fi-FI"/>
        </w:rPr>
        <w:t>Ageeva</w:t>
      </w:r>
      <w:bookmarkStart w:id="0" w:name="_GoBack"/>
      <w:bookmarkEnd w:id="0"/>
      <w:r w:rsidRPr="00B94A50"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360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Raportointi TK-päällikölle toteutuksen aikana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2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Teams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>- ympäristö raportointiin ja vapaa pääsy sinne (myös projektiryhmälle)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2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Kerran kk mahdollisuus osallistua projektikokoukseen suotavaa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2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OR- jäsen 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Dokumentointi, raportit, </w:t>
      </w: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Reportronicin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käyttö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3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Oikeudet lisätty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Hankkeeseen liittyvät hankinnat/investoinnit, vastuut ja menettelyt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4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Savonialla hankintavastuu, Kilpailutus yhteistyössä (tarpeet ja sisällöt)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4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Ks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Rahoittajan päätös, jossa ohje. Savonian sisäinen hankintaohje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360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Sisäisten välikatselmusten tarve ja ajankohdat sidottuna vaiheistukseen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Sisäisen lopetuspalaverin ajankohta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5"/>
        </w:numPr>
        <w:ind w:left="0" w:firstLine="0"/>
        <w:textAlignment w:val="baseline"/>
        <w:rPr>
          <w:rFonts w:ascii="Tahoma" w:hAnsi="Tahoma" w:cs="Tahoma"/>
          <w:caps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caps/>
          <w:sz w:val="22"/>
          <w:szCs w:val="22"/>
          <w:lang w:val="fi-FI"/>
        </w:rPr>
        <w:t>tulokset</w:t>
      </w:r>
      <w:r>
        <w:rPr>
          <w:rStyle w:val="eop"/>
          <w:rFonts w:ascii="Tahoma" w:hAnsi="Tahoma" w:cs="Tahoma"/>
          <w:caps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Kirjataan rahoitushakemukseen kirjatut tulosvaatimukset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6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Rahoituspäätös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360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Kirjataan kumppanien esittämät Savoniaa koskevat tulosvaatimukset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7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Kirjataan Savonian sisäiset tulosvaatimukset (esim. tuotteistetut palvelut ja koulutukset)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8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Tavoitteena tuotteistettu, myytävä palvelu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8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Vaikutukset koulutukseen, integrointi koulutussisältöihin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Kirjataan, miten suunniteltu integroitavaksi opetukseen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19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Opetussuunnitelmanmukaiseen yrittäjyysosaamisen koulutukseen 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Todetaan mahdolliset vaatimusten väliset ristiriidat ja priorisoinnit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0"/>
        </w:numPr>
        <w:ind w:left="360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Ei havaittuja ristiriitoja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Pyritään kirjaamaan vaatimukset selkeään ja konkreettiseen, todennettavissa olevaan muotoon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proofErr w:type="gramStart"/>
      <w:r>
        <w:rPr>
          <w:rStyle w:val="contextualspellingandgrammarerror"/>
          <w:rFonts w:ascii="Tahoma" w:hAnsi="Tahoma" w:cs="Tahoma"/>
          <w:sz w:val="22"/>
          <w:szCs w:val="22"/>
          <w:lang w:val="fi-FI"/>
        </w:rPr>
        <w:t>Kirjataan milloin kukin vaatimus on</w:t>
      </w:r>
      <w:proofErr w:type="gram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todennettavissa, huomioiden sisäisten katselmusten ajankohdat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1"/>
        </w:numPr>
        <w:ind w:left="0" w:firstLine="0"/>
        <w:textAlignment w:val="baseline"/>
        <w:rPr>
          <w:rFonts w:ascii="Tahoma" w:hAnsi="Tahoma" w:cs="Tahoma"/>
          <w:caps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caps/>
          <w:sz w:val="22"/>
          <w:szCs w:val="22"/>
          <w:lang w:val="fi-FI"/>
        </w:rPr>
        <w:t>hankkeen riskiarviointi</w:t>
      </w:r>
      <w:r>
        <w:rPr>
          <w:rStyle w:val="eop"/>
          <w:rFonts w:ascii="Tahoma" w:hAnsi="Tahoma" w:cs="Tahoma"/>
          <w:caps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Kirjataan hankkeen suunnitelmanmukaista toteutumista uhkaavat riskit, ja niihin varautuminen.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lastRenderedPageBreak/>
        <w:t>Tarkastellaan mahdollisina riskeinä ainakin: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2"/>
        </w:numPr>
        <w:ind w:left="91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Omaan osaamisen riittävyys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3"/>
        </w:numPr>
        <w:ind w:left="163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Ostopalveluilla voidaan täydentää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4"/>
        </w:numPr>
        <w:ind w:left="91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Kumppanien osaamisen riittävyys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5"/>
        </w:numPr>
        <w:ind w:left="163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Ostopalveluilla voidaan täydentää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6"/>
        </w:numPr>
        <w:ind w:left="91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proofErr w:type="spellStart"/>
      <w:r>
        <w:rPr>
          <w:rStyle w:val="normaltextrun1"/>
          <w:rFonts w:ascii="Tahoma" w:hAnsi="Tahoma" w:cs="Tahoma"/>
          <w:sz w:val="22"/>
          <w:szCs w:val="22"/>
          <w:lang w:val="fi-FI"/>
        </w:rPr>
        <w:t>Resurssointi</w:t>
      </w:r>
      <w:proofErr w:type="spellEnd"/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7"/>
        </w:numPr>
        <w:ind w:left="163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Riski aina, muutoksiin voidaan varautua toimintamallilla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7"/>
        </w:numPr>
        <w:ind w:left="163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Voisiko riskiä pienentää tunnistamalla varahenkilön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8"/>
        </w:numPr>
        <w:ind w:left="91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Hallinnolliset riskit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9"/>
        </w:numPr>
        <w:ind w:left="163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Jos tieto ei kulje ja siitä seuraava riski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9"/>
        </w:numPr>
        <w:ind w:left="163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Päätöksenteko ja roolit, erityisesti kun ollaan etänä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9"/>
        </w:numPr>
        <w:ind w:left="163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--&gt; huolehditaan että projektikokouksia on riittävästi, </w:t>
      </w: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Teams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pysyttäminen </w:t>
      </w:r>
      <w:proofErr w:type="spellStart"/>
      <w:proofErr w:type="gramStart"/>
      <w:r>
        <w:rPr>
          <w:rStyle w:val="spellingerror"/>
          <w:rFonts w:ascii="Tahoma" w:hAnsi="Tahoma" w:cs="Tahoma"/>
          <w:sz w:val="22"/>
          <w:szCs w:val="22"/>
          <w:lang w:val="fi-FI"/>
        </w:rPr>
        <w:t>ajantasalla</w:t>
      </w:r>
      <w:proofErr w:type="spellEnd"/>
      <w:proofErr w:type="gram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, pidetään yllä aktiivisuutta ja avoimuutta. 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9"/>
        </w:numPr>
        <w:ind w:left="163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Nopeasti reagointia vaativat sähköpostiin, ja voi viitata </w:t>
      </w: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teamsiin</w:t>
      </w:r>
      <w:proofErr w:type="spellEnd"/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9"/>
        </w:numPr>
        <w:ind w:left="163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Teamsissa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</w:t>
      </w: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esim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myös artikkeleita, taustaa </w:t>
      </w: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jne</w:t>
      </w:r>
      <w:proofErr w:type="spellEnd"/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9"/>
        </w:numPr>
        <w:ind w:left="163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Moodlessa “pureskeltuna” enemmän, 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29"/>
        </w:numPr>
        <w:ind w:left="163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30"/>
        </w:numPr>
        <w:ind w:left="91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Turvallisuusriskit (varautumisen suunnittelu pakollinen)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31"/>
        </w:numPr>
        <w:ind w:left="915" w:firstLine="0"/>
        <w:textAlignment w:val="baseline"/>
        <w:rPr>
          <w:rFonts w:ascii="Tahoma" w:hAnsi="Tahoma" w:cs="Tahoma"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Taloudelliset riskit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32"/>
        </w:numPr>
        <w:ind w:left="0" w:firstLine="0"/>
        <w:textAlignment w:val="baseline"/>
        <w:rPr>
          <w:rFonts w:ascii="Tahoma" w:hAnsi="Tahoma" w:cs="Tahoma"/>
          <w:caps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caps/>
          <w:sz w:val="22"/>
          <w:szCs w:val="22"/>
          <w:lang w:val="fi-FI"/>
        </w:rPr>
        <w:t>tiedottaminen</w:t>
      </w:r>
      <w:r>
        <w:rPr>
          <w:rStyle w:val="eop"/>
          <w:rFonts w:ascii="Tahoma" w:hAnsi="Tahoma" w:cs="Tahoma"/>
          <w:caps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Julkaisut, missä vaiheessa, missä voitaisiin julkaista ja kuka kirjoittaa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Tiedotteet (Savonian sanomat, </w:t>
      </w: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Santra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>, Internet), missä vaiheissa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Mahdolliset kumppanien asettamat rajoitukset, tarkastusoikeudet ja salassapitovaatimukset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numPr>
          <w:ilvl w:val="0"/>
          <w:numId w:val="33"/>
        </w:numPr>
        <w:ind w:left="0" w:firstLine="0"/>
        <w:textAlignment w:val="baseline"/>
        <w:rPr>
          <w:rFonts w:ascii="Tahoma" w:hAnsi="Tahoma" w:cs="Tahoma"/>
          <w:caps/>
          <w:sz w:val="22"/>
          <w:szCs w:val="22"/>
          <w:lang w:val="fi-FI"/>
        </w:rPr>
      </w:pPr>
      <w:r>
        <w:rPr>
          <w:rStyle w:val="normaltextrun1"/>
          <w:rFonts w:ascii="Tahoma" w:hAnsi="Tahoma" w:cs="Tahoma"/>
          <w:caps/>
          <w:sz w:val="22"/>
          <w:szCs w:val="22"/>
          <w:lang w:val="fi-FI"/>
        </w:rPr>
        <w:t>Pöytäkirjan jakelu</w:t>
      </w:r>
      <w:r>
        <w:rPr>
          <w:rStyle w:val="eop"/>
          <w:rFonts w:ascii="Tahoma" w:hAnsi="Tahoma" w:cs="Tahoma"/>
          <w:caps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proofErr w:type="spellStart"/>
      <w:r>
        <w:rPr>
          <w:rStyle w:val="spellingerror"/>
          <w:rFonts w:ascii="Tahoma" w:hAnsi="Tahoma" w:cs="Tahoma"/>
          <w:sz w:val="22"/>
          <w:szCs w:val="22"/>
          <w:lang w:val="fi-FI"/>
        </w:rPr>
        <w:t>Reportronic</w:t>
      </w:r>
      <w:proofErr w:type="spellEnd"/>
      <w:r>
        <w:rPr>
          <w:rStyle w:val="normaltextrun1"/>
          <w:rFonts w:ascii="Tahoma" w:hAnsi="Tahoma" w:cs="Tahoma"/>
          <w:sz w:val="22"/>
          <w:szCs w:val="22"/>
          <w:lang w:val="fi-FI"/>
        </w:rPr>
        <w:t xml:space="preserve"> – Dokumentit – Pöytäkirjat – Sisäiset muistiot ja pöytäkirjat (pakollinen)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normaltextrun1"/>
          <w:rFonts w:ascii="Tahoma" w:hAnsi="Tahoma" w:cs="Tahoma"/>
          <w:sz w:val="22"/>
          <w:szCs w:val="22"/>
          <w:lang w:val="fi-FI"/>
        </w:rPr>
        <w:t>Muu jakelu palaverissa sovittavalla tavalla</w:t>
      </w: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555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ind w:left="2595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C77B1E" w:rsidRDefault="00C77B1E" w:rsidP="00C77B1E">
      <w:pPr>
        <w:pStyle w:val="paragraph"/>
        <w:textAlignment w:val="baseline"/>
        <w:rPr>
          <w:lang w:val="fi-FI"/>
        </w:rPr>
      </w:pPr>
      <w:r>
        <w:rPr>
          <w:rStyle w:val="eop"/>
          <w:rFonts w:ascii="Tahoma" w:hAnsi="Tahoma" w:cs="Tahoma"/>
          <w:sz w:val="22"/>
          <w:szCs w:val="22"/>
          <w:lang w:val="fi-FI"/>
        </w:rPr>
        <w:t> </w:t>
      </w:r>
    </w:p>
    <w:p w:rsidR="002E0A01" w:rsidRDefault="002E0A01"/>
    <w:sectPr w:rsidR="002E0A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C73"/>
    <w:multiLevelType w:val="multilevel"/>
    <w:tmpl w:val="8E3E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61FF3"/>
    <w:multiLevelType w:val="multilevel"/>
    <w:tmpl w:val="D61CA3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D1E43"/>
    <w:multiLevelType w:val="multilevel"/>
    <w:tmpl w:val="3A681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F33BF"/>
    <w:multiLevelType w:val="multilevel"/>
    <w:tmpl w:val="CC9E7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15E53"/>
    <w:multiLevelType w:val="multilevel"/>
    <w:tmpl w:val="AB84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14417F"/>
    <w:multiLevelType w:val="multilevel"/>
    <w:tmpl w:val="B1A83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6840888"/>
    <w:multiLevelType w:val="multilevel"/>
    <w:tmpl w:val="1908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363398"/>
    <w:multiLevelType w:val="multilevel"/>
    <w:tmpl w:val="F92C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BC0721"/>
    <w:multiLevelType w:val="multilevel"/>
    <w:tmpl w:val="3FC8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794A38"/>
    <w:multiLevelType w:val="multilevel"/>
    <w:tmpl w:val="02864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3A7703C"/>
    <w:multiLevelType w:val="multilevel"/>
    <w:tmpl w:val="1940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5F0259"/>
    <w:multiLevelType w:val="multilevel"/>
    <w:tmpl w:val="80E2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9A5766"/>
    <w:multiLevelType w:val="multilevel"/>
    <w:tmpl w:val="6DDC26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06574"/>
    <w:multiLevelType w:val="multilevel"/>
    <w:tmpl w:val="D6C276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5C502FF"/>
    <w:multiLevelType w:val="multilevel"/>
    <w:tmpl w:val="5EC0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BD0457"/>
    <w:multiLevelType w:val="multilevel"/>
    <w:tmpl w:val="6BEC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D44A6F"/>
    <w:multiLevelType w:val="multilevel"/>
    <w:tmpl w:val="A626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7E3107"/>
    <w:multiLevelType w:val="multilevel"/>
    <w:tmpl w:val="158C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54DE1"/>
    <w:multiLevelType w:val="multilevel"/>
    <w:tmpl w:val="E64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863625"/>
    <w:multiLevelType w:val="multilevel"/>
    <w:tmpl w:val="C7E8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104DC5"/>
    <w:multiLevelType w:val="multilevel"/>
    <w:tmpl w:val="AC2A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366E04"/>
    <w:multiLevelType w:val="multilevel"/>
    <w:tmpl w:val="B12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7F637D"/>
    <w:multiLevelType w:val="multilevel"/>
    <w:tmpl w:val="0036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22130"/>
    <w:multiLevelType w:val="multilevel"/>
    <w:tmpl w:val="DDAE0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CC7BD4"/>
    <w:multiLevelType w:val="multilevel"/>
    <w:tmpl w:val="9E3615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F422051"/>
    <w:multiLevelType w:val="multilevel"/>
    <w:tmpl w:val="E0F4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3F60A3"/>
    <w:multiLevelType w:val="multilevel"/>
    <w:tmpl w:val="1974BB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73FC3"/>
    <w:multiLevelType w:val="multilevel"/>
    <w:tmpl w:val="B614B8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E0A06"/>
    <w:multiLevelType w:val="multilevel"/>
    <w:tmpl w:val="72F24B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A148FF"/>
    <w:multiLevelType w:val="multilevel"/>
    <w:tmpl w:val="390E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6322ED"/>
    <w:multiLevelType w:val="multilevel"/>
    <w:tmpl w:val="141A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821214"/>
    <w:multiLevelType w:val="multilevel"/>
    <w:tmpl w:val="74C290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B4845A9"/>
    <w:multiLevelType w:val="multilevel"/>
    <w:tmpl w:val="3720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3"/>
  </w:num>
  <w:num w:numId="3">
    <w:abstractNumId w:val="20"/>
  </w:num>
  <w:num w:numId="4">
    <w:abstractNumId w:val="27"/>
  </w:num>
  <w:num w:numId="5">
    <w:abstractNumId w:val="22"/>
  </w:num>
  <w:num w:numId="6">
    <w:abstractNumId w:val="17"/>
  </w:num>
  <w:num w:numId="7">
    <w:abstractNumId w:val="21"/>
  </w:num>
  <w:num w:numId="8">
    <w:abstractNumId w:val="13"/>
  </w:num>
  <w:num w:numId="9">
    <w:abstractNumId w:val="2"/>
  </w:num>
  <w:num w:numId="10">
    <w:abstractNumId w:val="7"/>
  </w:num>
  <w:num w:numId="11">
    <w:abstractNumId w:val="8"/>
  </w:num>
  <w:num w:numId="12">
    <w:abstractNumId w:val="32"/>
  </w:num>
  <w:num w:numId="13">
    <w:abstractNumId w:val="0"/>
  </w:num>
  <w:num w:numId="14">
    <w:abstractNumId w:val="15"/>
  </w:num>
  <w:num w:numId="15">
    <w:abstractNumId w:val="12"/>
  </w:num>
  <w:num w:numId="16">
    <w:abstractNumId w:val="29"/>
  </w:num>
  <w:num w:numId="17">
    <w:abstractNumId w:val="4"/>
  </w:num>
  <w:num w:numId="18">
    <w:abstractNumId w:val="14"/>
  </w:num>
  <w:num w:numId="19">
    <w:abstractNumId w:val="19"/>
  </w:num>
  <w:num w:numId="20">
    <w:abstractNumId w:val="16"/>
  </w:num>
  <w:num w:numId="21">
    <w:abstractNumId w:val="26"/>
  </w:num>
  <w:num w:numId="22">
    <w:abstractNumId w:val="25"/>
  </w:num>
  <w:num w:numId="23">
    <w:abstractNumId w:val="24"/>
  </w:num>
  <w:num w:numId="24">
    <w:abstractNumId w:val="30"/>
  </w:num>
  <w:num w:numId="25">
    <w:abstractNumId w:val="5"/>
  </w:num>
  <w:num w:numId="26">
    <w:abstractNumId w:val="18"/>
  </w:num>
  <w:num w:numId="27">
    <w:abstractNumId w:val="31"/>
  </w:num>
  <w:num w:numId="28">
    <w:abstractNumId w:val="11"/>
  </w:num>
  <w:num w:numId="29">
    <w:abstractNumId w:val="9"/>
  </w:num>
  <w:num w:numId="30">
    <w:abstractNumId w:val="10"/>
  </w:num>
  <w:num w:numId="31">
    <w:abstractNumId w:val="6"/>
  </w:num>
  <w:num w:numId="32">
    <w:abstractNumId w:val="2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1E"/>
    <w:rsid w:val="002E0A01"/>
    <w:rsid w:val="00B94A50"/>
    <w:rsid w:val="00C7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1305"/>
  <w15:chartTrackingRefBased/>
  <w15:docId w15:val="{A1018BCD-279E-414B-97E3-8875D7BD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C7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Kappaleenoletusfontti"/>
    <w:rsid w:val="00C77B1E"/>
  </w:style>
  <w:style w:type="character" w:customStyle="1" w:styleId="contextualspellingandgrammarerror">
    <w:name w:val="contextualspellingandgrammarerror"/>
    <w:basedOn w:val="Kappaleenoletusfontti"/>
    <w:rsid w:val="00C77B1E"/>
  </w:style>
  <w:style w:type="character" w:customStyle="1" w:styleId="normaltextrun1">
    <w:name w:val="normaltextrun1"/>
    <w:basedOn w:val="Kappaleenoletusfontti"/>
    <w:rsid w:val="00C77B1E"/>
  </w:style>
  <w:style w:type="character" w:customStyle="1" w:styleId="eop">
    <w:name w:val="eop"/>
    <w:basedOn w:val="Kappaleenoletusfontti"/>
    <w:rsid w:val="00C7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59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5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70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6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01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36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332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00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692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179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0724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252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323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4604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3181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0310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146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763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629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1901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796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79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9891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6429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22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8957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7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93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9050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2226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281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200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458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4894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758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676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289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858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5666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7524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0138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8214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320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2967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23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976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318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125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3879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7161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768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4084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436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704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159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08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194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4134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9094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904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84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1127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5303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9603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839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6152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636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9707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2246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0588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756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7047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502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5691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15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9664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327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8931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763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757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545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5305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4864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37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6066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854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284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70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69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9199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2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1171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81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208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6346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3524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573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43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104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6437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4145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9667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6151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58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32DB369794374E8B1C8E8529A5CFDE" ma:contentTypeVersion="2" ma:contentTypeDescription="Luo uusi asiakirja." ma:contentTypeScope="" ma:versionID="b1caff7e7887c505f3dce87aedd6c1d7">
  <xsd:schema xmlns:xsd="http://www.w3.org/2001/XMLSchema" xmlns:xs="http://www.w3.org/2001/XMLSchema" xmlns:p="http://schemas.microsoft.com/office/2006/metadata/properties" xmlns:ns2="bca91ffa-549a-443e-8845-b8adccd48eaf" targetNamespace="http://schemas.microsoft.com/office/2006/metadata/properties" ma:root="true" ma:fieldsID="f0d8d4048b4212bbe96e9861ec9fcdef" ns2:_="">
    <xsd:import namespace="bca91ffa-549a-443e-8845-b8adccd48e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91ffa-549a-443e-8845-b8adccd48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F246F-3F22-4691-8B64-3A6FA9A081C4}"/>
</file>

<file path=customXml/itemProps2.xml><?xml version="1.0" encoding="utf-8"?>
<ds:datastoreItem xmlns:ds="http://schemas.openxmlformats.org/officeDocument/2006/customXml" ds:itemID="{259A4230-3BED-4775-927F-A477FAAD6E28}"/>
</file>

<file path=customXml/itemProps3.xml><?xml version="1.0" encoding="utf-8"?>
<ds:datastoreItem xmlns:ds="http://schemas.openxmlformats.org/officeDocument/2006/customXml" ds:itemID="{2F38287D-7AC2-48EA-8C8E-A139A0ABC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Hämäläinen</dc:creator>
  <cp:keywords/>
  <dc:description/>
  <cp:lastModifiedBy>Susanne Hämäläinen</cp:lastModifiedBy>
  <cp:revision>2</cp:revision>
  <dcterms:created xsi:type="dcterms:W3CDTF">2020-01-28T08:46:00Z</dcterms:created>
  <dcterms:modified xsi:type="dcterms:W3CDTF">2020-02-06T10:48:00Z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0x010100E732DB369794374E8B1C8E8529A5CFDE</vt:lpwstr>
  </property>
</Properties>
</file>