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4" w:rsidRPr="00497D84" w:rsidRDefault="00497D84" w:rsidP="00497D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>Toissijaiseen kouluun hakeutuminen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97D84">
        <w:rPr>
          <w:rFonts w:ascii="Arial" w:hAnsi="Arial" w:cs="Arial"/>
          <w:color w:val="000000"/>
          <w:sz w:val="24"/>
          <w:szCs w:val="24"/>
        </w:rPr>
        <w:t>Siv.ltk</w:t>
      </w:r>
      <w:proofErr w:type="spellEnd"/>
      <w:r w:rsidRPr="00497D84">
        <w:rPr>
          <w:rFonts w:ascii="Arial" w:hAnsi="Arial" w:cs="Arial"/>
          <w:color w:val="000000"/>
          <w:sz w:val="24"/>
          <w:szCs w:val="24"/>
        </w:rPr>
        <w:t>. § 24</w:t>
      </w:r>
      <w:r w:rsidRPr="00497D84">
        <w:rPr>
          <w:rFonts w:ascii="Arial" w:hAnsi="Arial" w:cs="Arial"/>
          <w:color w:val="000000"/>
          <w:sz w:val="24"/>
          <w:szCs w:val="24"/>
        </w:rPr>
        <w:tab/>
        <w:t xml:space="preserve">Perusopetuslain 4 §:n mukaan kunta on velvollinen järjestämään sen alueella asuville </w:t>
      </w:r>
      <w:proofErr w:type="gramStart"/>
      <w:r w:rsidRPr="00497D84">
        <w:rPr>
          <w:rFonts w:ascii="Arial" w:hAnsi="Arial" w:cs="Arial"/>
          <w:color w:val="000000"/>
          <w:sz w:val="24"/>
          <w:szCs w:val="24"/>
        </w:rPr>
        <w:t>oppivelvollisille perusopetusta</w:t>
      </w:r>
      <w:proofErr w:type="gramEnd"/>
      <w:r w:rsidRPr="00497D84">
        <w:rPr>
          <w:rFonts w:ascii="Arial" w:hAnsi="Arial" w:cs="Arial"/>
          <w:color w:val="000000"/>
          <w:sz w:val="24"/>
          <w:szCs w:val="24"/>
        </w:rPr>
        <w:t>. Opetus tulee kun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nas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sa järjestää siten, että oppilaiden matkat ovat asutuksen, kou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lu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jen ja muiden opetuksen järjestämispaikkojen sijainti sekä lii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ken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ne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yh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tey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det huomioon ottaen mahdollisimman turvallisia ja ly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hyi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tä. Kunta osoittaa oppivelvolliselle oppilaalle lähikoulun tai muun so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vel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tu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van paikan, jossa opetusta annetaan sellaisella oppilaan omalla kie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lel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lä, jolla kunta on velvollinen järjestämään opetusta. Kunta voi pe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rus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tel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lus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ta syystä opetuksen järjestämiseen liittyvästä syystä ope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tus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kiel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tä muuttamatta vaihtaa opetuksen järjestämispaikkaa pe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rus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ope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tus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lain 6 §:n mukaan. Oppilaalla on perusopetuslain mukaan oi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keus käydä kunnan osoittamaan lähikoulua. Oppilaaksi ottaminen pe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rus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ope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tuk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seen tapahtuu koulutoimen johtosäännössä mää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ri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tel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ty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jen koulunkäyntialueiden mukaisesti. Oppivelvollinen voi myös pyr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kiä oppilaaksi muuhun kuin hänelle osoitettuun lähikouluun. Tässä ta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pauk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ses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sa oppilaita ottaessa on sovellettava yhdenvertaisia va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lin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ta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pe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rus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tei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 xml:space="preserve">ta. 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  <w:u w:val="single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</w:r>
      <w:r w:rsidRPr="00497D84">
        <w:rPr>
          <w:rFonts w:ascii="Arial" w:hAnsi="Arial" w:cs="Arial"/>
          <w:color w:val="000000"/>
          <w:sz w:val="24"/>
          <w:szCs w:val="24"/>
          <w:u w:val="single"/>
        </w:rPr>
        <w:t>Esitys sivistysjohtaja: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  <w:t>Sivistyslautakunta päättää seuraavasti: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  <w:t>1. Esi- ja perusopetukseen otetaan ensisijaisesti oman kunnan op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pi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lai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 xml:space="preserve">ta. 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  <w:t>2. Päätöksen toissijaisesta oppilaspaikan myöntämisestä tekee si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vis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tys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joh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ta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ja huoltajan anomuksesta.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  <w:t xml:space="preserve">3. </w:t>
      </w:r>
      <w:proofErr w:type="spellStart"/>
      <w:r w:rsidRPr="00497D84">
        <w:rPr>
          <w:rFonts w:ascii="Arial" w:hAnsi="Arial" w:cs="Arial"/>
          <w:color w:val="000000"/>
          <w:sz w:val="24"/>
          <w:szCs w:val="24"/>
        </w:rPr>
        <w:t>Oppilaaksiotto</w:t>
      </w:r>
      <w:proofErr w:type="spellEnd"/>
      <w:r w:rsidRPr="00497D84">
        <w:rPr>
          <w:rFonts w:ascii="Arial" w:hAnsi="Arial" w:cs="Arial"/>
          <w:color w:val="000000"/>
          <w:sz w:val="24"/>
          <w:szCs w:val="24"/>
        </w:rPr>
        <w:t xml:space="preserve"> ei saa aiheuttaa lisäresurssin tarvetta, ryh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mä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ja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ko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jen muutoksia, lisätyöntekijöiden palkkausta tai yleisesti ope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tus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jär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jes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te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ly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jä vaikeuttavia tilanteita vastaanottavassa koulussa ja toi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saal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ta edellä mainittuja tilanteita ei hakeutumisen johdosta saa myös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kään syntyä kunnan oppilaalle osoittamassa lähikoulussa.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  <w:t xml:space="preserve">4. Toissijaiseen kouluun siirtymisen kriteerit 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  <w:t>a) erityinen oppilashuollollinen tai oppilaan terveydentilaan liittyvä syy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  <w:t>b) peruskoulun käyminen loppuun entisessä koulussa asuinpaikan muut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tu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mi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ses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ta huolimatta oman kunnan alueella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  <w:t xml:space="preserve">c) sisaruus, oppilaalla on sisaruksia samanaikaisesti kyseissä 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  <w:t>koulussa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  <w:t>d) muu syy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  <w:t>Mikäli kouluun on toissijaisia hakijoita kohtien a, b tai c perusteella, me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ne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vät nämä hakijat niiden edelle, jotka anovat toissijaista kou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lu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paik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 xml:space="preserve">kaa muun syyn perusteella (kohta d). 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  <w:t>Jokaisen kriteerin kohdalla käytetään tarvittaessa lisäksi arvontaa, mi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kä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li ko. kriteerien perusteella kouluun olisi tulossa enemmän op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pi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</w:r>
      <w:r w:rsidRPr="00497D84">
        <w:rPr>
          <w:rFonts w:ascii="Arial" w:hAnsi="Arial" w:cs="Arial"/>
          <w:color w:val="000000"/>
          <w:sz w:val="24"/>
          <w:szCs w:val="24"/>
        </w:rPr>
        <w:lastRenderedPageBreak/>
        <w:t>lai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 xml:space="preserve">ta kuin sinne voidaan oppilaita ottaa.  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  <w:t>5. kunta ei vastaa oppilaskuljetuksista, kun kyse on hakeutumisesta tois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si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jai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sel</w:t>
      </w:r>
      <w:r w:rsidRPr="00497D84">
        <w:rPr>
          <w:rFonts w:ascii="Arial" w:hAnsi="Arial" w:cs="Arial"/>
          <w:color w:val="000000"/>
          <w:sz w:val="24"/>
          <w:szCs w:val="24"/>
        </w:rPr>
        <w:softHyphen/>
        <w:t>le oppilaspaikalle.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  <w:u w:val="single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</w:r>
      <w:r w:rsidRPr="00497D84">
        <w:rPr>
          <w:rFonts w:ascii="Arial" w:hAnsi="Arial" w:cs="Arial"/>
          <w:color w:val="000000"/>
          <w:sz w:val="24"/>
          <w:szCs w:val="24"/>
          <w:u w:val="single"/>
        </w:rPr>
        <w:t>Päätös: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  <w:r w:rsidRPr="00497D84">
        <w:rPr>
          <w:rFonts w:ascii="Arial" w:hAnsi="Arial" w:cs="Arial"/>
          <w:color w:val="000000"/>
          <w:sz w:val="24"/>
          <w:szCs w:val="24"/>
        </w:rPr>
        <w:tab/>
        <w:t>Hyväksyttiin.</w:t>
      </w:r>
    </w:p>
    <w:p w:rsidR="00497D84" w:rsidRPr="00497D84" w:rsidRDefault="00497D84" w:rsidP="00497D84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240" w:lineRule="auto"/>
        <w:ind w:left="2607" w:hanging="2607"/>
        <w:rPr>
          <w:rFonts w:ascii="Arial" w:hAnsi="Arial" w:cs="Arial"/>
          <w:color w:val="000000"/>
          <w:sz w:val="24"/>
          <w:szCs w:val="24"/>
        </w:rPr>
      </w:pPr>
    </w:p>
    <w:p w:rsidR="00AC6465" w:rsidRDefault="00AC6465"/>
    <w:sectPr w:rsidR="00AC6465" w:rsidSect="00DA3D10">
      <w:headerReference w:type="default" r:id="rId6"/>
      <w:pgSz w:w="11907" w:h="16837"/>
      <w:pgMar w:top="737" w:right="850" w:bottom="1134" w:left="1134" w:header="567" w:footer="56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47" w:rsidRDefault="00021247" w:rsidP="00293145">
      <w:pPr>
        <w:spacing w:after="0" w:line="240" w:lineRule="auto"/>
      </w:pPr>
      <w:r>
        <w:separator/>
      </w:r>
    </w:p>
  </w:endnote>
  <w:endnote w:type="continuationSeparator" w:id="0">
    <w:p w:rsidR="00021247" w:rsidRDefault="00021247" w:rsidP="0029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47" w:rsidRDefault="00021247" w:rsidP="00293145">
      <w:pPr>
        <w:spacing w:after="0" w:line="240" w:lineRule="auto"/>
      </w:pPr>
      <w:r>
        <w:separator/>
      </w:r>
    </w:p>
  </w:footnote>
  <w:footnote w:type="continuationSeparator" w:id="0">
    <w:p w:rsidR="00021247" w:rsidRDefault="00021247" w:rsidP="0029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/>
    </w:tblPr>
    <w:tblGrid>
      <w:gridCol w:w="5215"/>
      <w:gridCol w:w="4707"/>
    </w:tblGrid>
    <w:tr w:rsidR="00DA3D10">
      <w:tc>
        <w:tcPr>
          <w:tcW w:w="5215" w:type="dxa"/>
          <w:tcBorders>
            <w:top w:val="nil"/>
            <w:left w:val="nil"/>
            <w:bottom w:val="nil"/>
            <w:right w:val="nil"/>
          </w:tcBorders>
        </w:tcPr>
        <w:p w:rsidR="00DA3D10" w:rsidRDefault="00497D84">
          <w:pPr>
            <w:pStyle w:val="Normal"/>
          </w:pPr>
          <w:r>
            <w:t>VETELIN KUNTA</w:t>
          </w:r>
        </w:p>
      </w:tc>
      <w:tc>
        <w:tcPr>
          <w:tcW w:w="4707" w:type="dxa"/>
          <w:tcBorders>
            <w:top w:val="nil"/>
            <w:left w:val="nil"/>
            <w:bottom w:val="nil"/>
            <w:right w:val="nil"/>
          </w:tcBorders>
        </w:tcPr>
        <w:p w:rsidR="00DA3D10" w:rsidRDefault="00497D84">
          <w:pPr>
            <w:pStyle w:val="Normal"/>
          </w:pPr>
          <w:r>
            <w:t>OTE PÖYTÄKIRJASTA</w:t>
          </w:r>
        </w:p>
      </w:tc>
    </w:tr>
  </w:tbl>
  <w:p w:rsidR="00DA3D10" w:rsidRDefault="00021247">
    <w:pPr>
      <w:pStyle w:val="Normal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</w:pPr>
  </w:p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/>
    </w:tblPr>
    <w:tblGrid>
      <w:gridCol w:w="3912"/>
      <w:gridCol w:w="1304"/>
      <w:gridCol w:w="3307"/>
    </w:tblGrid>
    <w:tr w:rsidR="00DA3D10">
      <w:tc>
        <w:tcPr>
          <w:tcW w:w="391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DA3D10" w:rsidRDefault="00497D84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</w:tabs>
          </w:pPr>
          <w:r>
            <w:t>Sivistyslautakunta</w:t>
          </w:r>
        </w:p>
      </w:tc>
      <w:tc>
        <w:tcPr>
          <w:tcW w:w="1304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DA3D10" w:rsidRDefault="00497D84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</w:tabs>
          </w:pPr>
          <w:r>
            <w:t>§ 24</w:t>
          </w:r>
        </w:p>
      </w:tc>
      <w:tc>
        <w:tcPr>
          <w:tcW w:w="3307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DA3D10" w:rsidRDefault="00497D84">
          <w:pPr>
            <w:pStyle w:val="Normal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</w:tabs>
          </w:pPr>
          <w:proofErr w:type="gramStart"/>
          <w:r>
            <w:t>07.03.2013</w:t>
          </w:r>
          <w:proofErr w:type="gramEnd"/>
        </w:p>
      </w:tc>
    </w:tr>
  </w:tbl>
  <w:p w:rsidR="00DA3D10" w:rsidRDefault="00021247">
    <w:pPr>
      <w:pStyle w:val="Normal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D84"/>
    <w:rsid w:val="00021247"/>
    <w:rsid w:val="00293145"/>
    <w:rsid w:val="00497D84"/>
    <w:rsid w:val="007169D4"/>
    <w:rsid w:val="00AC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C646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uiPriority w:val="99"/>
    <w:rsid w:val="00497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16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169D4"/>
  </w:style>
  <w:style w:type="paragraph" w:styleId="Alatunniste">
    <w:name w:val="footer"/>
    <w:basedOn w:val="Normaali"/>
    <w:link w:val="AlatunnisteChar"/>
    <w:uiPriority w:val="99"/>
    <w:semiHidden/>
    <w:unhideWhenUsed/>
    <w:rsid w:val="00716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16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Anna-Liisa Kotila</dc:creator>
  <cp:lastModifiedBy>Anna-Liisa Kotila</cp:lastModifiedBy>
  <cp:revision>3</cp:revision>
  <dcterms:created xsi:type="dcterms:W3CDTF">2015-11-05T11:49:00Z</dcterms:created>
  <dcterms:modified xsi:type="dcterms:W3CDTF">2015-11-05T11:52:00Z</dcterms:modified>
</cp:coreProperties>
</file>