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6820" w14:textId="77777777" w:rsidR="0041115B" w:rsidRDefault="00962F4B">
      <w:pPr>
        <w:spacing w:line="276" w:lineRule="auto"/>
        <w:rPr>
          <w:rFonts w:ascii="Cambria" w:eastAsia="Cambria" w:hAnsi="Cambria" w:cs="Cambria"/>
          <w:b/>
          <w:color w:val="EF706D"/>
          <w:sz w:val="40"/>
          <w:szCs w:val="40"/>
        </w:rPr>
      </w:pPr>
      <w:r>
        <w:rPr>
          <w:rFonts w:ascii="Cambria" w:eastAsia="Cambria" w:hAnsi="Cambria" w:cs="Cambria"/>
          <w:b/>
          <w:color w:val="EF706D"/>
          <w:sz w:val="40"/>
          <w:szCs w:val="40"/>
        </w:rPr>
        <w:t>3. Mediaympäristö ja viestintä</w:t>
      </w:r>
    </w:p>
    <w:p w14:paraId="7E2C7ACC" w14:textId="77777777" w:rsidR="0041115B" w:rsidRDefault="0041115B">
      <w:pPr>
        <w:spacing w:line="276" w:lineRule="auto"/>
        <w:rPr>
          <w:rFonts w:ascii="Cambria" w:eastAsia="Cambria" w:hAnsi="Cambria" w:cs="Cambria"/>
          <w:b/>
          <w:color w:val="EF706D"/>
          <w:sz w:val="32"/>
          <w:szCs w:val="32"/>
        </w:rPr>
      </w:pPr>
    </w:p>
    <w:p w14:paraId="4F708C45" w14:textId="77777777" w:rsidR="00C56BAC" w:rsidRDefault="00C56BAC">
      <w:pPr>
        <w:spacing w:line="276" w:lineRule="auto"/>
        <w:rPr>
          <w:rFonts w:ascii="Cambria" w:eastAsia="Cambria" w:hAnsi="Cambria" w:cs="Cambria"/>
          <w:b/>
          <w:sz w:val="36"/>
          <w:szCs w:val="36"/>
        </w:rPr>
      </w:pPr>
    </w:p>
    <w:p w14:paraId="0B6FE8E3" w14:textId="3AE3C7B0" w:rsidR="0041115B" w:rsidRDefault="00962F4B">
      <w:pPr>
        <w:spacing w:line="276" w:lineRule="auto"/>
        <w:rPr>
          <w:rFonts w:ascii="Cambria" w:eastAsia="Cambria" w:hAnsi="Cambria" w:cs="Cambria"/>
          <w:b/>
          <w:sz w:val="36"/>
          <w:szCs w:val="36"/>
        </w:rPr>
      </w:pPr>
      <w:r>
        <w:rPr>
          <w:rFonts w:ascii="Cambria" w:eastAsia="Cambria" w:hAnsi="Cambria" w:cs="Cambria"/>
          <w:b/>
          <w:sz w:val="36"/>
          <w:szCs w:val="36"/>
        </w:rPr>
        <w:t>Tehtävien vastaukset</w:t>
      </w:r>
    </w:p>
    <w:p w14:paraId="5F45FAD8" w14:textId="77777777" w:rsidR="0041115B" w:rsidRDefault="0041115B">
      <w:pPr>
        <w:spacing w:line="276" w:lineRule="auto"/>
        <w:rPr>
          <w:rFonts w:ascii="Cambria" w:eastAsia="Cambria" w:hAnsi="Cambria" w:cs="Cambria"/>
          <w:b/>
          <w:sz w:val="28"/>
          <w:szCs w:val="28"/>
        </w:rPr>
      </w:pPr>
    </w:p>
    <w:p w14:paraId="51223FB6" w14:textId="77777777" w:rsidR="00C56BAC" w:rsidRDefault="00C56BAC" w:rsidP="00C56BAC">
      <w:pPr>
        <w:spacing w:line="276" w:lineRule="auto"/>
        <w:rPr>
          <w:rFonts w:ascii="Cambria" w:eastAsia="Cambria" w:hAnsi="Cambria" w:cs="Cambria"/>
          <w:b/>
          <w:sz w:val="28"/>
          <w:szCs w:val="28"/>
        </w:rPr>
      </w:pPr>
    </w:p>
    <w:p w14:paraId="29F2FB8A" w14:textId="77777777" w:rsidR="00C56BAC" w:rsidRDefault="00C56BAC" w:rsidP="00C56BAC">
      <w:pPr>
        <w:spacing w:after="160" w:line="276" w:lineRule="auto"/>
        <w:rPr>
          <w:rFonts w:ascii="Cambria" w:eastAsia="Cambria" w:hAnsi="Cambria" w:cs="Cambria"/>
          <w:sz w:val="22"/>
          <w:szCs w:val="22"/>
        </w:rPr>
      </w:pPr>
      <w:r>
        <w:rPr>
          <w:rFonts w:ascii="Cambria" w:eastAsia="Cambria" w:hAnsi="Cambria" w:cs="Cambria"/>
          <w:b/>
          <w:sz w:val="22"/>
          <w:szCs w:val="22"/>
        </w:rPr>
        <w:t xml:space="preserve">1. Media vaikuttaa terveyskäsityksiin.  </w:t>
      </w:r>
      <w:r>
        <w:rPr>
          <w:rFonts w:ascii="Cambria" w:eastAsia="Cambria" w:hAnsi="Cambria" w:cs="Cambria"/>
          <w:b/>
          <w:sz w:val="22"/>
          <w:szCs w:val="22"/>
        </w:rPr>
        <w:br/>
      </w:r>
      <w:r>
        <w:rPr>
          <w:rFonts w:ascii="Cambria" w:eastAsia="Cambria" w:hAnsi="Cambria" w:cs="Cambria"/>
          <w:sz w:val="22"/>
          <w:szCs w:val="22"/>
        </w:rPr>
        <w:t xml:space="preserve">Kuvaile, miten media voi myönteisesti ja kielteisesti vaikuttaa ihmisten käsityksiin terveydestä, sairaudesta ja normaaliudesta. </w:t>
      </w:r>
    </w:p>
    <w:p w14:paraId="69A8AF7A"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Terveys on tyypillinen aihe mediassa, ja tarjolla on viestintäkanavan mukaan hyvin erilaista ja eritasoista tietoa terveydestä ja hyvinvoinnista. Median terveysviestintä vaikuttaa mielikuviimme ja käsityksiimme terveydestä, sairaudesta ja normaaliudesta monella tapaa, joista alla on muutamia esimerkkejä. </w:t>
      </w:r>
    </w:p>
    <w:p w14:paraId="0760CD11" w14:textId="77777777" w:rsidR="00C56BAC" w:rsidRDefault="00C56BAC" w:rsidP="00C56BAC">
      <w:pPr>
        <w:spacing w:line="276" w:lineRule="auto"/>
        <w:rPr>
          <w:rFonts w:ascii="Cambria" w:eastAsia="Cambria" w:hAnsi="Cambria" w:cs="Cambria"/>
          <w:color w:val="2F5496"/>
          <w:sz w:val="22"/>
          <w:szCs w:val="22"/>
        </w:rPr>
      </w:pPr>
    </w:p>
    <w:p w14:paraId="27A7AE50"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Media rakentaa osaltaan terveyteen liittyvää arvostusta ihmisten keskuudessa. Tämä voi myönteisellä tavalla lisätä ihmisten kiinnostusta terveyttä kohtaan. Toisaalta se voi myös johtaa terveyden arvostuksen ylikorostumiseen. Terveyden korostuminen mediassa on osaltaan tukenut </w:t>
      </w:r>
      <w:proofErr w:type="spellStart"/>
      <w:r>
        <w:rPr>
          <w:rFonts w:ascii="Cambria" w:eastAsia="Cambria" w:hAnsi="Cambria" w:cs="Cambria"/>
          <w:color w:val="2F5496"/>
          <w:sz w:val="22"/>
          <w:szCs w:val="22"/>
        </w:rPr>
        <w:t>medikalisoitumista</w:t>
      </w:r>
      <w:proofErr w:type="spellEnd"/>
      <w:r>
        <w:rPr>
          <w:rFonts w:ascii="Cambria" w:eastAsia="Cambria" w:hAnsi="Cambria" w:cs="Cambria"/>
          <w:color w:val="2F5496"/>
          <w:sz w:val="22"/>
          <w:szCs w:val="22"/>
        </w:rPr>
        <w:t xml:space="preserve"> eli lääketieteellistymistä, jossa normaalitkin fyysiset ja psyykkiset reaktiot ja tilanteet, kuten kaljuuntuminen tai mielialanvaihtelut, nähdään terveydellisenä ongelmana, joka tulisi hoitaa lääketieteen avulla. Media myös luo mielikuvia siitä, millaiselta terveys näyttää ja tuntuu. Samalla se luo terveyden ympärille kauneusihanteita, jotka voivat olla myös vääristyneitä. Toisinaan kyseiset mielikuvat voivat toimia esimerkiksi inspiraationa terveellisille elintavoille, mutta toisinaan myös lannistaa. </w:t>
      </w:r>
    </w:p>
    <w:p w14:paraId="66D7022F" w14:textId="77777777" w:rsidR="00C56BAC" w:rsidRDefault="00C56BAC" w:rsidP="00C56BAC">
      <w:pPr>
        <w:spacing w:line="276" w:lineRule="auto"/>
        <w:rPr>
          <w:rFonts w:ascii="Cambria" w:eastAsia="Cambria" w:hAnsi="Cambria" w:cs="Cambria"/>
          <w:color w:val="2F5496"/>
          <w:sz w:val="22"/>
          <w:szCs w:val="22"/>
        </w:rPr>
      </w:pPr>
    </w:p>
    <w:p w14:paraId="617BBE15"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Media tarjoaa totuudenmukaista tietoa, joka voi lisätä ihmisten hyvinvointia ja terveyttä vaikuttamalla myönteisesti heidän valintoihinsa ja käyttäytymiseensä. Lähtökohtaisesti esimerkiksi asiantuntijaviestintä pyrkii välittämään totuudenmukaista tietoa. Median tarjoama tieto voi kuitenkin olla myös virheellistä tai yksipuolista ja johtaa siten terveyttä heikentäviin ajattelu- ja toimintamalleihin. Tällaisia tilanteita voi olla esimerkiksi silloin, kun tieto perustuu yksittäisten ihmisten kokemuksiin ja mielipiteisiin. </w:t>
      </w:r>
    </w:p>
    <w:p w14:paraId="633812E1" w14:textId="77777777" w:rsidR="00C56BAC" w:rsidRDefault="00C56BAC" w:rsidP="00C56BAC">
      <w:pPr>
        <w:spacing w:line="276" w:lineRule="auto"/>
        <w:rPr>
          <w:rFonts w:ascii="Cambria" w:eastAsia="Cambria" w:hAnsi="Cambria" w:cs="Cambria"/>
          <w:color w:val="2F5496"/>
          <w:sz w:val="22"/>
          <w:szCs w:val="22"/>
        </w:rPr>
      </w:pPr>
    </w:p>
    <w:p w14:paraId="7939271D"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Mediaa tarjoaa merkittävän alustan vaikeista ja herkistä terveyteen liittyvistä aiheista viestimiseen ja keskustelemiseen. Tämä mahdollistaa terveysteemoihin liittyvien tabujen ja normien purkamisen. Ihmisten tarinat poistavat salaperäisyyttä, pelkoja ja vääriä mielikuvia teemojen ympäriltä, mikä mahdollistaa käsitysten muuttumisen. Esimerkiksi mielenterveyteen, seksuaalioikeuksiin ja pitkäaikaissairauksiin liittyviä aiheita käsitellään mediassa paljon.  </w:t>
      </w:r>
    </w:p>
    <w:p w14:paraId="209E7A86" w14:textId="77777777" w:rsidR="00C56BAC" w:rsidRDefault="00C56BAC" w:rsidP="00C56BAC">
      <w:pPr>
        <w:spacing w:line="276" w:lineRule="auto"/>
        <w:rPr>
          <w:rFonts w:ascii="Cambria" w:eastAsia="Cambria" w:hAnsi="Cambria" w:cs="Cambria"/>
          <w:color w:val="2F5496"/>
          <w:sz w:val="22"/>
          <w:szCs w:val="22"/>
        </w:rPr>
      </w:pPr>
    </w:p>
    <w:p w14:paraId="7ACF2B3C" w14:textId="77777777" w:rsidR="00C56BAC" w:rsidRDefault="00C56BAC" w:rsidP="00C56BAC">
      <w:pPr>
        <w:pBdr>
          <w:top w:val="nil"/>
          <w:left w:val="nil"/>
          <w:bottom w:val="nil"/>
          <w:right w:val="nil"/>
          <w:between w:val="nil"/>
        </w:pBdr>
        <w:spacing w:line="276" w:lineRule="auto"/>
        <w:rPr>
          <w:rFonts w:ascii="Cambria" w:eastAsia="Cambria" w:hAnsi="Cambria" w:cs="Cambria"/>
          <w:color w:val="000000"/>
          <w:sz w:val="22"/>
          <w:szCs w:val="22"/>
        </w:rPr>
      </w:pPr>
    </w:p>
    <w:p w14:paraId="4E2E1530" w14:textId="77777777" w:rsidR="00C56BAC" w:rsidRDefault="00C56BAC" w:rsidP="00C56BAC">
      <w:pPr>
        <w:spacing w:after="160" w:line="276" w:lineRule="auto"/>
        <w:rPr>
          <w:rFonts w:ascii="Cambria" w:eastAsia="Cambria" w:hAnsi="Cambria" w:cs="Cambria"/>
          <w:b/>
          <w:sz w:val="22"/>
          <w:szCs w:val="22"/>
        </w:rPr>
      </w:pPr>
    </w:p>
    <w:p w14:paraId="7BD0E70F" w14:textId="77777777" w:rsidR="00C56BAC" w:rsidRDefault="00C56BAC" w:rsidP="00C56BAC">
      <w:pPr>
        <w:spacing w:after="160" w:line="276" w:lineRule="auto"/>
        <w:rPr>
          <w:rFonts w:ascii="Cambria" w:eastAsia="Cambria" w:hAnsi="Cambria" w:cs="Cambria"/>
          <w:b/>
          <w:sz w:val="22"/>
          <w:szCs w:val="22"/>
        </w:rPr>
      </w:pPr>
    </w:p>
    <w:p w14:paraId="7D2FBF45" w14:textId="77777777" w:rsidR="00C56BAC" w:rsidRDefault="00C56BAC" w:rsidP="00C56BAC">
      <w:pPr>
        <w:spacing w:after="160" w:line="276" w:lineRule="auto"/>
        <w:rPr>
          <w:rFonts w:ascii="Cambria" w:eastAsia="Cambria" w:hAnsi="Cambria" w:cs="Cambria"/>
          <w:b/>
          <w:sz w:val="22"/>
          <w:szCs w:val="22"/>
        </w:rPr>
      </w:pPr>
    </w:p>
    <w:p w14:paraId="78BAA4B7" w14:textId="183D27E2" w:rsidR="00C56BAC" w:rsidRDefault="00C56BAC" w:rsidP="00C56BAC">
      <w:pPr>
        <w:spacing w:after="160" w:line="276" w:lineRule="auto"/>
        <w:rPr>
          <w:rFonts w:ascii="Cambria" w:eastAsia="Cambria" w:hAnsi="Cambria" w:cs="Cambria"/>
          <w:b/>
          <w:sz w:val="22"/>
          <w:szCs w:val="22"/>
        </w:rPr>
      </w:pPr>
      <w:r>
        <w:rPr>
          <w:rFonts w:ascii="Cambria" w:eastAsia="Cambria" w:hAnsi="Cambria" w:cs="Cambria"/>
          <w:b/>
          <w:sz w:val="22"/>
          <w:szCs w:val="22"/>
        </w:rPr>
        <w:lastRenderedPageBreak/>
        <w:t xml:space="preserve">2. Tutustu Instagram-sivustoon Tiedenaiset. </w:t>
      </w:r>
    </w:p>
    <w:p w14:paraId="2B4DED81" w14:textId="77777777" w:rsidR="00C56BAC" w:rsidRDefault="00C56BAC" w:rsidP="00C56BAC">
      <w:pPr>
        <w:pBdr>
          <w:top w:val="nil"/>
          <w:left w:val="nil"/>
          <w:bottom w:val="nil"/>
          <w:right w:val="nil"/>
          <w:between w:val="nil"/>
        </w:pBdr>
        <w:spacing w:after="160"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a. Selitä, mikä on yhteisön tavoite. </w:t>
      </w:r>
    </w:p>
    <w:p w14:paraId="679D2C6D" w14:textId="77777777" w:rsidR="00C56BAC" w:rsidRDefault="00C56BAC" w:rsidP="00C56BAC">
      <w:pPr>
        <w:spacing w:after="280"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Yhteisön tavoitteena on levittää kokonaisvaltaista ja tieteelliseen näyttöön perustuvaa tietoa terveydestä ja hyvinvoinnista sekä tavoittaa sosiaalisen median / Instagramin kautta etenkin sellaisia ihmisiä, jotka eivät muuten altistuisi tutkitulle tiedolle. </w:t>
      </w:r>
    </w:p>
    <w:p w14:paraId="13BE4524" w14:textId="77777777" w:rsidR="00C56BAC" w:rsidRDefault="00C56BAC" w:rsidP="00C56BAC">
      <w:pPr>
        <w:pBdr>
          <w:top w:val="nil"/>
          <w:left w:val="nil"/>
          <w:bottom w:val="nil"/>
          <w:right w:val="nil"/>
          <w:between w:val="nil"/>
        </w:pBdr>
        <w:spacing w:after="160"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b. Tutustu sivuston sisältöön ja teemoihin. Valitse sinua kiinnostava päivitys. Tiivistä sekä päivitys että siitä käyty keskustelu. </w:t>
      </w:r>
    </w:p>
    <w:p w14:paraId="056F2D01"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Opiskelijan oma vastaus.</w:t>
      </w:r>
    </w:p>
    <w:p w14:paraId="151E3850" w14:textId="77777777" w:rsidR="00C56BAC" w:rsidRDefault="00C56BAC" w:rsidP="00C56BAC">
      <w:pPr>
        <w:spacing w:line="276" w:lineRule="auto"/>
        <w:rPr>
          <w:rFonts w:ascii="Cambria" w:eastAsia="Cambria" w:hAnsi="Cambria" w:cs="Cambria"/>
          <w:sz w:val="22"/>
          <w:szCs w:val="22"/>
        </w:rPr>
      </w:pPr>
    </w:p>
    <w:p w14:paraId="43630A56" w14:textId="77777777" w:rsidR="00C56BAC" w:rsidRDefault="00C56BAC" w:rsidP="00C56BAC">
      <w:pPr>
        <w:pBdr>
          <w:top w:val="nil"/>
          <w:left w:val="nil"/>
          <w:bottom w:val="nil"/>
          <w:right w:val="nil"/>
          <w:between w:val="nil"/>
        </w:pBdr>
        <w:spacing w:after="160"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c. Keskustelkaa pienryhmässä tiivistelmistänne ja havainnoistanne. Pohtikaa, millaisia vaikutuksia Tiedenaiset-sivustolla voi olla ihmisten terveydelle ja hyvinvoinnille. </w:t>
      </w:r>
    </w:p>
    <w:p w14:paraId="499064B3"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Tiedenaiset ovat nuorten naisten moniammatillinen joukko, joka hyödyntää sosiaalista mediaa viestintäkanavana, ja tavoittaa siten parhaiten nuoria ihmisiä. Heidän tieteelliseen </w:t>
      </w:r>
      <w:proofErr w:type="gramStart"/>
      <w:r>
        <w:rPr>
          <w:rFonts w:ascii="Cambria" w:eastAsia="Cambria" w:hAnsi="Cambria" w:cs="Cambria"/>
          <w:color w:val="2F5496"/>
          <w:sz w:val="22"/>
          <w:szCs w:val="22"/>
        </w:rPr>
        <w:t>tietoon</w:t>
      </w:r>
      <w:proofErr w:type="gramEnd"/>
      <w:r>
        <w:rPr>
          <w:rFonts w:ascii="Cambria" w:eastAsia="Cambria" w:hAnsi="Cambria" w:cs="Cambria"/>
          <w:color w:val="2F5496"/>
          <w:sz w:val="22"/>
          <w:szCs w:val="22"/>
        </w:rPr>
        <w:t xml:space="preserve"> perustuva ja helposti lähestyttävä viestintänsä tukee totuudenmukaisten terveyskäsitysten muodostumista ja virheellisten korjaantumista. Osaltaan koko Tiedenaiset-konsepti myös viestii kriittisen terveysviestinnän lukutaidon merkityksestä. Mahdollisuus vuorovaikutukseen </w:t>
      </w:r>
      <w:proofErr w:type="spellStart"/>
      <w:r>
        <w:rPr>
          <w:rFonts w:ascii="Cambria" w:eastAsia="Cambria" w:hAnsi="Cambria" w:cs="Cambria"/>
          <w:color w:val="2F5496"/>
          <w:sz w:val="22"/>
          <w:szCs w:val="22"/>
        </w:rPr>
        <w:t>somessa</w:t>
      </w:r>
      <w:proofErr w:type="spellEnd"/>
      <w:r>
        <w:rPr>
          <w:rFonts w:ascii="Cambria" w:eastAsia="Cambria" w:hAnsi="Cambria" w:cs="Cambria"/>
          <w:color w:val="2F5496"/>
          <w:sz w:val="22"/>
          <w:szCs w:val="22"/>
        </w:rPr>
        <w:t xml:space="preserve"> madaltaa kynnystä kysyä terveyteen liittyvistä asioista, mikä tukee oikea-aikaisen ja totuudenmukaisen tiedon saamista, ja voi myös rohkaista pyytämään apua.  </w:t>
      </w:r>
    </w:p>
    <w:p w14:paraId="4374109A" w14:textId="77777777" w:rsidR="00C56BAC" w:rsidRDefault="00C56BAC" w:rsidP="00C56BAC">
      <w:pPr>
        <w:spacing w:line="276" w:lineRule="auto"/>
        <w:rPr>
          <w:rFonts w:ascii="Cambria" w:eastAsia="Cambria" w:hAnsi="Cambria" w:cs="Cambria"/>
          <w:sz w:val="22"/>
          <w:szCs w:val="22"/>
        </w:rPr>
      </w:pPr>
      <w:r>
        <w:rPr>
          <w:rFonts w:ascii="Cambria" w:eastAsia="Cambria" w:hAnsi="Cambria" w:cs="Cambria"/>
          <w:sz w:val="22"/>
          <w:szCs w:val="22"/>
        </w:rPr>
        <w:t xml:space="preserve"> </w:t>
      </w:r>
    </w:p>
    <w:p w14:paraId="56ADBB29" w14:textId="77777777" w:rsidR="00C56BAC" w:rsidRDefault="00C56BAC" w:rsidP="00C56BAC">
      <w:pPr>
        <w:spacing w:after="160" w:line="276" w:lineRule="auto"/>
        <w:rPr>
          <w:rFonts w:ascii="Cambria" w:eastAsia="Cambria" w:hAnsi="Cambria" w:cs="Cambria"/>
          <w:b/>
          <w:sz w:val="22"/>
          <w:szCs w:val="22"/>
        </w:rPr>
      </w:pPr>
    </w:p>
    <w:p w14:paraId="61F1FE37" w14:textId="77777777" w:rsidR="00C56BAC" w:rsidRDefault="00C56BAC" w:rsidP="00C56BAC">
      <w:pPr>
        <w:spacing w:after="160" w:line="276" w:lineRule="auto"/>
        <w:rPr>
          <w:rFonts w:ascii="Cambria" w:eastAsia="Cambria" w:hAnsi="Cambria" w:cs="Cambria"/>
          <w:b/>
          <w:sz w:val="22"/>
          <w:szCs w:val="22"/>
        </w:rPr>
      </w:pPr>
      <w:r>
        <w:rPr>
          <w:rFonts w:ascii="Cambria" w:eastAsia="Cambria" w:hAnsi="Cambria" w:cs="Cambria"/>
          <w:b/>
          <w:sz w:val="22"/>
          <w:szCs w:val="22"/>
        </w:rPr>
        <w:t xml:space="preserve">3. Erilaisten näkemysten ja argumentointitapojen analysointia. </w:t>
      </w:r>
    </w:p>
    <w:p w14:paraId="1BB27A85" w14:textId="77777777" w:rsidR="00C56BAC" w:rsidRPr="005919F7" w:rsidRDefault="00C56BAC" w:rsidP="00C56BAC">
      <w:pPr>
        <w:pBdr>
          <w:top w:val="nil"/>
          <w:left w:val="nil"/>
          <w:bottom w:val="nil"/>
          <w:right w:val="nil"/>
          <w:between w:val="nil"/>
        </w:pBdr>
        <w:spacing w:after="160"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a. Lue johonkin terveysaiheeseen, kuten nuuskaan tai älykelloihin, liittyvää nettikeskustelua kahdessa tai kolmessa erilaisessa lähteessä (esim. YLE, Ilta-Sanomat, ET). </w:t>
      </w:r>
    </w:p>
    <w:p w14:paraId="2913016E" w14:textId="77777777" w:rsidR="00C56BAC" w:rsidRDefault="00C56BAC" w:rsidP="00C56BAC">
      <w:pPr>
        <w:spacing w:line="276" w:lineRule="auto"/>
        <w:rPr>
          <w:rFonts w:ascii="Cambria" w:eastAsia="Cambria" w:hAnsi="Cambria" w:cs="Cambria"/>
          <w:sz w:val="22"/>
          <w:szCs w:val="22"/>
        </w:rPr>
      </w:pPr>
    </w:p>
    <w:p w14:paraId="592AACE1" w14:textId="77777777" w:rsidR="00C56BAC" w:rsidRDefault="00C56BAC" w:rsidP="00C56BAC">
      <w:pPr>
        <w:pBdr>
          <w:top w:val="nil"/>
          <w:left w:val="nil"/>
          <w:bottom w:val="nil"/>
          <w:right w:val="nil"/>
          <w:between w:val="nil"/>
        </w:pBdr>
        <w:spacing w:line="276" w:lineRule="auto"/>
        <w:rPr>
          <w:rFonts w:ascii="Cambria" w:eastAsia="Cambria" w:hAnsi="Cambria" w:cs="Cambria"/>
          <w:color w:val="000000"/>
          <w:sz w:val="22"/>
          <w:szCs w:val="22"/>
        </w:rPr>
      </w:pPr>
      <w:r>
        <w:rPr>
          <w:rFonts w:ascii="Cambria" w:eastAsia="Cambria" w:hAnsi="Cambria" w:cs="Cambria"/>
          <w:color w:val="000000"/>
          <w:sz w:val="22"/>
          <w:szCs w:val="22"/>
        </w:rPr>
        <w:t>b. Millaisia erilaisia näkökulmia havaitset? Esimerkiksi miten käyttäytymistä ja valintoja perustellaan? Mikä voisi olla syynä eriäviin näkemyksiin?</w:t>
      </w:r>
    </w:p>
    <w:p w14:paraId="55371E5C" w14:textId="77777777" w:rsidR="00C56BAC" w:rsidRDefault="00C56BAC" w:rsidP="00C56BAC">
      <w:pPr>
        <w:pBdr>
          <w:top w:val="nil"/>
          <w:left w:val="nil"/>
          <w:bottom w:val="nil"/>
          <w:right w:val="nil"/>
          <w:between w:val="nil"/>
        </w:pBdr>
        <w:spacing w:line="276" w:lineRule="auto"/>
        <w:rPr>
          <w:rFonts w:ascii="Cambria" w:eastAsia="Cambria" w:hAnsi="Cambria" w:cs="Cambria"/>
          <w:color w:val="000000"/>
          <w:sz w:val="22"/>
          <w:szCs w:val="22"/>
        </w:rPr>
      </w:pPr>
    </w:p>
    <w:p w14:paraId="3E949B78" w14:textId="77777777" w:rsidR="00C56BAC" w:rsidRDefault="00C56BAC" w:rsidP="00C56BAC">
      <w:pPr>
        <w:pBdr>
          <w:top w:val="nil"/>
          <w:left w:val="nil"/>
          <w:bottom w:val="nil"/>
          <w:right w:val="nil"/>
          <w:between w:val="nil"/>
        </w:pBdr>
        <w:spacing w:line="276" w:lineRule="auto"/>
        <w:rPr>
          <w:rFonts w:ascii="Cambria" w:eastAsia="Cambria" w:hAnsi="Cambria" w:cs="Cambria"/>
          <w:color w:val="2F5496"/>
          <w:sz w:val="22"/>
          <w:szCs w:val="22"/>
        </w:rPr>
      </w:pPr>
      <w:r>
        <w:rPr>
          <w:rFonts w:ascii="Cambria" w:eastAsia="Cambria" w:hAnsi="Cambria" w:cs="Cambria"/>
          <w:color w:val="2F5496"/>
          <w:sz w:val="22"/>
          <w:szCs w:val="22"/>
        </w:rPr>
        <w:t>Opiskelijan oma vastaus. Havainnot riippuvat aiheesta, mutta voivat liittyä esimerkiksi näkökulmien mustavalkoisuuteen / monipuolisuuteen, perusteluiden kattavuuteen ja niiden pohjautumiseen joko tieteelliseen näyttöön tai omiin kokemuksiin. Myös syyt eriäviin näkökulmiin määräytyvät aiheen mukaan, mutta ne voivat johtua esimerkiksi iästä, koulutuksesta, ammattiasemasta, kokemuksista tai arvoista.</w:t>
      </w:r>
    </w:p>
    <w:p w14:paraId="661D2195" w14:textId="77777777" w:rsidR="00C56BAC" w:rsidRDefault="00C56BAC" w:rsidP="00C56BAC">
      <w:pPr>
        <w:pBdr>
          <w:top w:val="nil"/>
          <w:left w:val="nil"/>
          <w:bottom w:val="nil"/>
          <w:right w:val="nil"/>
          <w:between w:val="nil"/>
        </w:pBdr>
        <w:spacing w:line="276" w:lineRule="auto"/>
        <w:rPr>
          <w:rFonts w:ascii="Cambria" w:eastAsia="Cambria" w:hAnsi="Cambria" w:cs="Cambria"/>
          <w:color w:val="000000"/>
          <w:sz w:val="22"/>
          <w:szCs w:val="22"/>
        </w:rPr>
      </w:pPr>
    </w:p>
    <w:p w14:paraId="069E4CEA" w14:textId="77777777" w:rsidR="00C56BAC" w:rsidRDefault="00C56BAC" w:rsidP="00C56BAC">
      <w:pPr>
        <w:pBdr>
          <w:top w:val="nil"/>
          <w:left w:val="nil"/>
          <w:bottom w:val="nil"/>
          <w:right w:val="nil"/>
          <w:between w:val="nil"/>
        </w:pBdr>
        <w:spacing w:line="276" w:lineRule="auto"/>
        <w:rPr>
          <w:rFonts w:ascii="Cambria" w:eastAsia="Cambria" w:hAnsi="Cambria" w:cs="Cambria"/>
          <w:color w:val="000000"/>
          <w:sz w:val="22"/>
          <w:szCs w:val="22"/>
        </w:rPr>
      </w:pPr>
      <w:r>
        <w:rPr>
          <w:rFonts w:ascii="Cambria" w:eastAsia="Cambria" w:hAnsi="Cambria" w:cs="Cambria"/>
          <w:color w:val="000000"/>
          <w:sz w:val="22"/>
          <w:szCs w:val="22"/>
        </w:rPr>
        <w:t>c. Millaisia argumentteja pidät luotettavimpina ja miksi?</w:t>
      </w:r>
    </w:p>
    <w:p w14:paraId="01F9632F" w14:textId="77777777" w:rsidR="00C56BAC" w:rsidRDefault="00C56BAC" w:rsidP="00C56BAC">
      <w:pPr>
        <w:pBdr>
          <w:top w:val="nil"/>
          <w:left w:val="nil"/>
          <w:bottom w:val="nil"/>
          <w:right w:val="nil"/>
          <w:between w:val="nil"/>
        </w:pBdr>
        <w:spacing w:line="276" w:lineRule="auto"/>
        <w:rPr>
          <w:rFonts w:ascii="Cambria" w:eastAsia="Cambria" w:hAnsi="Cambria" w:cs="Cambria"/>
          <w:color w:val="000000"/>
          <w:sz w:val="22"/>
          <w:szCs w:val="22"/>
        </w:rPr>
      </w:pPr>
    </w:p>
    <w:p w14:paraId="575EC210" w14:textId="77777777" w:rsidR="00C56BAC" w:rsidRDefault="00C56BAC" w:rsidP="00C56BAC">
      <w:pPr>
        <w:pBdr>
          <w:top w:val="nil"/>
          <w:left w:val="nil"/>
          <w:bottom w:val="nil"/>
          <w:right w:val="nil"/>
          <w:between w:val="nil"/>
        </w:pBd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Opiskelijan oma vastaus. </w:t>
      </w:r>
      <w:r>
        <w:rPr>
          <w:rFonts w:ascii="Cambria" w:eastAsia="Cambria" w:hAnsi="Cambria" w:cs="Cambria"/>
          <w:color w:val="2F5496"/>
          <w:sz w:val="22"/>
          <w:szCs w:val="22"/>
        </w:rPr>
        <w:br/>
        <w:t xml:space="preserve">Luotettavuuteen voidaan ajatella vaikuttavan ainakin seuraavat seikat: kuka / mikä taho argumentoi, miksi argumentoidaan, miten selkeää ja objektiivista argumentointi on, ja mihin argumentit perustetaan. </w:t>
      </w:r>
    </w:p>
    <w:p w14:paraId="6947BE4C" w14:textId="77777777" w:rsidR="00C56BAC" w:rsidRDefault="00C56BAC" w:rsidP="00C56BAC">
      <w:pPr>
        <w:pBdr>
          <w:top w:val="nil"/>
          <w:left w:val="nil"/>
          <w:bottom w:val="nil"/>
          <w:right w:val="nil"/>
          <w:between w:val="nil"/>
        </w:pBdr>
        <w:spacing w:line="276" w:lineRule="auto"/>
        <w:rPr>
          <w:rFonts w:ascii="Cambria" w:eastAsia="Cambria" w:hAnsi="Cambria" w:cs="Cambria"/>
          <w:color w:val="2F5496"/>
          <w:sz w:val="22"/>
          <w:szCs w:val="22"/>
        </w:rPr>
      </w:pPr>
    </w:p>
    <w:p w14:paraId="005C5C54" w14:textId="77777777" w:rsidR="00C56BAC" w:rsidRDefault="00C56BAC" w:rsidP="00C56BAC">
      <w:pPr>
        <w:pBdr>
          <w:top w:val="nil"/>
          <w:left w:val="nil"/>
          <w:bottom w:val="nil"/>
          <w:right w:val="nil"/>
          <w:between w:val="nil"/>
        </w:pBdr>
        <w:spacing w:line="276" w:lineRule="auto"/>
        <w:rPr>
          <w:rFonts w:ascii="Cambria" w:eastAsia="Cambria" w:hAnsi="Cambria" w:cs="Cambria"/>
          <w:b/>
          <w:color w:val="2F5496"/>
          <w:sz w:val="22"/>
          <w:szCs w:val="22"/>
        </w:rPr>
      </w:pPr>
    </w:p>
    <w:p w14:paraId="724EB983" w14:textId="2A50E7A0" w:rsidR="00C56BAC" w:rsidRDefault="00C56BAC" w:rsidP="00C56BAC">
      <w:pPr>
        <w:spacing w:after="160" w:line="276" w:lineRule="auto"/>
        <w:rPr>
          <w:rFonts w:ascii="Cambria" w:eastAsia="Cambria" w:hAnsi="Cambria" w:cs="Cambria"/>
          <w:b/>
          <w:sz w:val="22"/>
          <w:szCs w:val="22"/>
        </w:rPr>
      </w:pPr>
      <w:r>
        <w:rPr>
          <w:rFonts w:ascii="Cambria" w:eastAsia="Cambria" w:hAnsi="Cambria" w:cs="Cambria"/>
          <w:b/>
          <w:sz w:val="22"/>
          <w:szCs w:val="22"/>
        </w:rPr>
        <w:lastRenderedPageBreak/>
        <w:t>4. Ihmisten luottamus tieteeseen ja tutkimukseen</w:t>
      </w:r>
    </w:p>
    <w:p w14:paraId="512FBCDE" w14:textId="77777777" w:rsidR="00C56BAC" w:rsidRDefault="00C56BAC" w:rsidP="00C56BAC">
      <w:pPr>
        <w:pBdr>
          <w:top w:val="nil"/>
          <w:left w:val="nil"/>
          <w:bottom w:val="nil"/>
          <w:right w:val="nil"/>
          <w:between w:val="nil"/>
        </w:pBdr>
        <w:spacing w:after="160"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a. Tulkitse alla olevasta tilastosta, miten ihmisten luottamus tiedettä ja tutkimusta kohtaan on muuttunut. </w:t>
      </w:r>
    </w:p>
    <w:p w14:paraId="2F6D76A1"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Ihmisten luottamus tiedettä ja tutkimusta kohtaan on lisääntynyt ja epäluottamus vähentynyt vuodesta 2001 vuoteen 2019. Eniten on kasvanut ”hyvin suuresti” luottavien osuus (2001: 9 % - 2019: 22 %) ja kasvu on ollut tasaista vuodesta 2001 lähtien. Eniten laskua on tapahtunut ”vaikea sanoa” (2001: 32 % - 2019: 22 %) ja ”melko vähäistä” (2001: 11 % - 2019: 7 %) ryhmissä. ”Melko suuresti” (vaihtelu 46–50 %) ja ”hyvin vähän” (vaihtelu 2–4 %) luottavien osuus on pysynyt kutakuinkin samana vuosien varrella. </w:t>
      </w:r>
    </w:p>
    <w:p w14:paraId="156CBA22" w14:textId="77777777" w:rsidR="00C56BAC" w:rsidRDefault="00C56BAC" w:rsidP="00C56BAC">
      <w:pPr>
        <w:spacing w:line="276" w:lineRule="auto"/>
        <w:rPr>
          <w:rFonts w:ascii="Cambria" w:eastAsia="Cambria" w:hAnsi="Cambria" w:cs="Cambria"/>
          <w:color w:val="2F5496"/>
          <w:sz w:val="22"/>
          <w:szCs w:val="22"/>
        </w:rPr>
      </w:pPr>
    </w:p>
    <w:p w14:paraId="072D744F" w14:textId="77777777" w:rsidR="00C56BAC" w:rsidRDefault="00C56BAC" w:rsidP="00C56BAC">
      <w:pPr>
        <w:spacing w:line="276" w:lineRule="auto"/>
        <w:rPr>
          <w:rFonts w:ascii="Cambria" w:eastAsia="Cambria" w:hAnsi="Cambria" w:cs="Cambria"/>
          <w:color w:val="0070C0"/>
          <w:sz w:val="22"/>
          <w:szCs w:val="22"/>
        </w:rPr>
      </w:pPr>
      <w:r>
        <w:rPr>
          <w:rFonts w:ascii="Cambria" w:eastAsia="Cambria" w:hAnsi="Cambria" w:cs="Cambria"/>
          <w:color w:val="2F5496"/>
          <w:sz w:val="22"/>
          <w:szCs w:val="22"/>
        </w:rPr>
        <w:t xml:space="preserve">Tulosten perusteella voidaan todeta, että vahva luottamus tieteeseen ja tutkimukseen on lisääntynyt vuodesta 2001 vuoteen 2019. Tulosten perusteella voitaisiin päätellä, että erityisesti ne, joiden on alun perin ollut vaikea muodostaa näkemystä tieteen ja tutkimuksen luotettavuudesta, ovat oppineet vuosien varrella luottamaan tieteeseen.  </w:t>
      </w:r>
    </w:p>
    <w:p w14:paraId="75D3B8E3" w14:textId="77777777" w:rsidR="00C56BAC" w:rsidRDefault="00C56BAC" w:rsidP="00C56BAC">
      <w:pPr>
        <w:spacing w:line="276" w:lineRule="auto"/>
        <w:rPr>
          <w:rFonts w:ascii="Cambria" w:eastAsia="Cambria" w:hAnsi="Cambria" w:cs="Cambria"/>
          <w:sz w:val="22"/>
          <w:szCs w:val="22"/>
        </w:rPr>
      </w:pPr>
    </w:p>
    <w:p w14:paraId="5668D386" w14:textId="77777777" w:rsidR="00C56BAC" w:rsidRDefault="00C56BAC" w:rsidP="00C56BAC">
      <w:pPr>
        <w:pBdr>
          <w:top w:val="nil"/>
          <w:left w:val="nil"/>
          <w:bottom w:val="nil"/>
          <w:right w:val="nil"/>
          <w:between w:val="nil"/>
        </w:pBdr>
        <w:spacing w:after="160"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b. Pohdi, mikä voisi selittää muutoksia. </w:t>
      </w:r>
    </w:p>
    <w:p w14:paraId="0E87ADA6"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Suomalaisten vahvaa luottamusta tieteeseen ja tutkimukseen voi rakentaa muun muassa koulutusjärjestelmä. Koulutus ei ole menettänyt merkitystään, vaan sen sijaan vahvistunut viime vuosikymmeninä. Toinen syy luottamuksen lisääntymiseen voi olla tieteen ja tutkimuksen aiempaa aktiivisempi näkyminen mediassa sellaisissa teemoissa, jotka koskettavat kaikkia ja ovat arvojemme mukaisia, kuten esimerkiksi ilmastonmuutos tai poliittinen päätöksenteko. Lisäksi asiantuntijat, tutkijat ym. tieteentekijät ovat aktiivisemmin läsnä erilaisilla alustoilla, kuten sosiaalisessa mediassa, jolloin tiede myös tulee lähemmäs ihmistä, mikä osaltaan tukee luottamuksen syntymistä.</w:t>
      </w:r>
    </w:p>
    <w:p w14:paraId="061D7759" w14:textId="77777777" w:rsidR="00C56BAC" w:rsidRDefault="00C56BAC" w:rsidP="00C56BAC">
      <w:pPr>
        <w:pBdr>
          <w:top w:val="nil"/>
          <w:left w:val="nil"/>
          <w:bottom w:val="nil"/>
          <w:right w:val="nil"/>
          <w:between w:val="nil"/>
        </w:pBdr>
        <w:spacing w:line="276" w:lineRule="auto"/>
        <w:rPr>
          <w:rFonts w:ascii="Cambria" w:eastAsia="Cambria" w:hAnsi="Cambria" w:cs="Cambria"/>
          <w:b/>
          <w:color w:val="000000"/>
          <w:sz w:val="22"/>
          <w:szCs w:val="22"/>
        </w:rPr>
      </w:pPr>
    </w:p>
    <w:p w14:paraId="33785418" w14:textId="77777777" w:rsidR="00C56BAC" w:rsidRDefault="00C56BAC" w:rsidP="00C56BAC">
      <w:pPr>
        <w:pBdr>
          <w:top w:val="nil"/>
          <w:left w:val="nil"/>
          <w:bottom w:val="nil"/>
          <w:right w:val="nil"/>
          <w:between w:val="nil"/>
        </w:pBdr>
        <w:spacing w:after="160" w:line="276" w:lineRule="auto"/>
        <w:rPr>
          <w:rFonts w:ascii="Cambria" w:eastAsia="Cambria" w:hAnsi="Cambria" w:cs="Cambria"/>
          <w:color w:val="FF0000"/>
          <w:sz w:val="22"/>
          <w:szCs w:val="22"/>
        </w:rPr>
      </w:pPr>
      <w:r>
        <w:rPr>
          <w:rFonts w:ascii="Cambria" w:eastAsia="Cambria" w:hAnsi="Cambria" w:cs="Cambria"/>
          <w:color w:val="000000"/>
          <w:sz w:val="22"/>
          <w:szCs w:val="22"/>
        </w:rPr>
        <w:t xml:space="preserve">c. Selitä, mitä tarkoitetaan tasapainoharhalla ja miten se voi vaikuttaa käsityksiin asiantuntijuudesta. </w:t>
      </w:r>
    </w:p>
    <w:p w14:paraId="2A3EF07E"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Journalismille tyypillistä on vastineen eli toisen näkökulman tai eriävän mielipiteen esittäminen esimerkiksi johonkin terveyttä käsittelevään aiheeseen. Vastineiden esittäminen johtaa herkästi mielikuvaan kahdesta tasaväkisestä näkemyksestä, vaikka todellisuudessa näkemykset eivät ole yhteismitalliset. Tätä näkemysten valheellista tasa-arvoa kutsutaan tasapainoharhaksi. </w:t>
      </w:r>
    </w:p>
    <w:p w14:paraId="4B9CC819" w14:textId="77777777" w:rsidR="00C56BAC" w:rsidRDefault="00C56BAC" w:rsidP="00C56BAC">
      <w:pPr>
        <w:spacing w:line="276" w:lineRule="auto"/>
        <w:rPr>
          <w:rFonts w:ascii="Cambria" w:eastAsia="Cambria" w:hAnsi="Cambria" w:cs="Cambria"/>
          <w:color w:val="2F5496"/>
          <w:sz w:val="22"/>
          <w:szCs w:val="22"/>
        </w:rPr>
      </w:pPr>
    </w:p>
    <w:p w14:paraId="58B53502"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Tasapainoharha voi muodostua esimerkiksi tilanteissa, joissa näkemysten esittäjien roolit eivät ole tasavertaiset. Esimerkiksi asiantuntijoiden näkemys ei ole yhteismitallinen yksilön kokemuksen kanssa. Mediassa yksilöiden kokemuksia käytetään kuitenkin usein vastinparina asiantuntijoiden lausunnoille, minkä vuoksi kokemusasiantuntijuuden rooli terveyskäsitysten muokkaajana on vahvistunut. Ihmisiltä vaaditaankin kriittistä suhtautumista näkökulmien esittäjiin ja tarkoitusperiin.  </w:t>
      </w:r>
    </w:p>
    <w:p w14:paraId="3ABF63F8" w14:textId="77777777" w:rsidR="00C56BAC" w:rsidRDefault="00C56BAC" w:rsidP="00C56BAC">
      <w:pPr>
        <w:spacing w:line="276" w:lineRule="auto"/>
        <w:rPr>
          <w:rFonts w:ascii="Cambria" w:eastAsia="Cambria" w:hAnsi="Cambria" w:cs="Cambria"/>
          <w:sz w:val="22"/>
          <w:szCs w:val="22"/>
        </w:rPr>
      </w:pPr>
    </w:p>
    <w:p w14:paraId="5B6AFD8E" w14:textId="77777777" w:rsidR="00C56BAC" w:rsidRDefault="00C56BAC" w:rsidP="00C56BAC">
      <w:pPr>
        <w:spacing w:after="160" w:line="276" w:lineRule="auto"/>
        <w:rPr>
          <w:rFonts w:ascii="Cambria" w:eastAsia="Cambria" w:hAnsi="Cambria" w:cs="Cambria"/>
          <w:sz w:val="22"/>
          <w:szCs w:val="22"/>
        </w:rPr>
      </w:pPr>
      <w:r>
        <w:rPr>
          <w:rFonts w:ascii="Cambria" w:eastAsia="Cambria" w:hAnsi="Cambria" w:cs="Cambria"/>
          <w:sz w:val="22"/>
          <w:szCs w:val="22"/>
        </w:rPr>
        <w:t xml:space="preserve">d. Selvitä, mitä muita asioita Tiedebarometri tarkastelee. </w:t>
      </w:r>
    </w:p>
    <w:p w14:paraId="328E0FF9"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Tiedebarometri (http://www.tieteentiedotus.fi/tiedebarometri.html) selvittää monipuolisesti suomalaisten suhtautumista tieteeseen, tiedeviestintään ja </w:t>
      </w:r>
      <w:proofErr w:type="spellStart"/>
      <w:proofErr w:type="gramStart"/>
      <w:r>
        <w:rPr>
          <w:rFonts w:ascii="Cambria" w:eastAsia="Cambria" w:hAnsi="Cambria" w:cs="Cambria"/>
          <w:color w:val="2F5496"/>
          <w:sz w:val="22"/>
          <w:szCs w:val="22"/>
        </w:rPr>
        <w:t>tieteellis</w:t>
      </w:r>
      <w:proofErr w:type="spellEnd"/>
      <w:r>
        <w:rPr>
          <w:rFonts w:ascii="Cambria" w:eastAsia="Cambria" w:hAnsi="Cambria" w:cs="Cambria"/>
          <w:color w:val="2F5496"/>
          <w:sz w:val="22"/>
          <w:szCs w:val="22"/>
        </w:rPr>
        <w:t>-teknologiseen</w:t>
      </w:r>
      <w:proofErr w:type="gramEnd"/>
      <w:r>
        <w:rPr>
          <w:rFonts w:ascii="Cambria" w:eastAsia="Cambria" w:hAnsi="Cambria" w:cs="Cambria"/>
          <w:color w:val="2F5496"/>
          <w:sz w:val="22"/>
          <w:szCs w:val="22"/>
        </w:rPr>
        <w:t xml:space="preserve"> kehitykseen. Kolmen vuoden välein julkaistava tiedebarometri julkaistiin ensimmäistä kertaa vuonna 2001, joten se tarjoaa mielenkiintoista pitkittäistietoa asenteista ja niiden muutoksista.</w:t>
      </w:r>
    </w:p>
    <w:p w14:paraId="0F077FB4" w14:textId="77777777" w:rsidR="00C56BAC" w:rsidRDefault="00C56BAC" w:rsidP="00C56BAC">
      <w:pPr>
        <w:rPr>
          <w:rFonts w:ascii="Cambria" w:eastAsia="Cambria" w:hAnsi="Cambria" w:cs="Cambria"/>
          <w:b/>
          <w:sz w:val="22"/>
          <w:szCs w:val="22"/>
        </w:rPr>
      </w:pPr>
    </w:p>
    <w:p w14:paraId="2DBAD15E" w14:textId="77777777" w:rsidR="00C56BAC" w:rsidRDefault="00C56BAC" w:rsidP="00C56BAC">
      <w:pPr>
        <w:spacing w:after="160" w:line="276" w:lineRule="auto"/>
        <w:rPr>
          <w:rFonts w:ascii="Cambria" w:eastAsia="Cambria" w:hAnsi="Cambria" w:cs="Cambria"/>
          <w:b/>
          <w:sz w:val="22"/>
          <w:szCs w:val="22"/>
        </w:rPr>
      </w:pPr>
    </w:p>
    <w:p w14:paraId="72FEC6BB" w14:textId="77777777" w:rsidR="00C56BAC" w:rsidRDefault="00C56BAC" w:rsidP="00C56BAC">
      <w:pPr>
        <w:spacing w:after="160" w:line="276" w:lineRule="auto"/>
        <w:rPr>
          <w:rFonts w:ascii="Cambria" w:eastAsia="Cambria" w:hAnsi="Cambria" w:cs="Cambria"/>
          <w:b/>
          <w:sz w:val="22"/>
          <w:szCs w:val="22"/>
        </w:rPr>
      </w:pPr>
      <w:r>
        <w:rPr>
          <w:rFonts w:ascii="Cambria" w:eastAsia="Cambria" w:hAnsi="Cambria" w:cs="Cambria"/>
          <w:b/>
          <w:sz w:val="22"/>
          <w:szCs w:val="22"/>
        </w:rPr>
        <w:lastRenderedPageBreak/>
        <w:t>5. Koronaviestinnän analysointia</w:t>
      </w:r>
      <w:r>
        <w:rPr>
          <w:rFonts w:ascii="Cambria" w:eastAsia="Cambria" w:hAnsi="Cambria" w:cs="Cambria"/>
          <w:b/>
          <w:sz w:val="22"/>
          <w:szCs w:val="22"/>
        </w:rPr>
        <w:br/>
      </w:r>
      <w:r>
        <w:rPr>
          <w:rFonts w:ascii="Cambria" w:eastAsia="Cambria" w:hAnsi="Cambria" w:cs="Cambria"/>
          <w:sz w:val="22"/>
          <w:szCs w:val="22"/>
        </w:rPr>
        <w:t>Media on tarjonnut hyvän alustan asiantuntijoille ja virkamiehille koronasuosituksista ja -rajoituksista viestimiseen.</w:t>
      </w:r>
      <w:r>
        <w:rPr>
          <w:rFonts w:ascii="Cambria" w:eastAsia="Cambria" w:hAnsi="Cambria" w:cs="Cambria"/>
          <w:b/>
          <w:sz w:val="22"/>
          <w:szCs w:val="22"/>
        </w:rPr>
        <w:t xml:space="preserve"> </w:t>
      </w:r>
    </w:p>
    <w:p w14:paraId="331AEDFE" w14:textId="77777777" w:rsidR="00C56BAC" w:rsidRDefault="00C56BAC" w:rsidP="00C56BAC">
      <w:pPr>
        <w:pBdr>
          <w:top w:val="nil"/>
          <w:left w:val="nil"/>
          <w:bottom w:val="nil"/>
          <w:right w:val="nil"/>
          <w:between w:val="nil"/>
        </w:pBdr>
        <w:spacing w:after="160"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a. Hyödynnä ohjelistaa terveysviestinnän vaikutuskeinojen analysointiin ja erittele, miten vaikutuskeinot ilmenevät </w:t>
      </w:r>
      <w:proofErr w:type="spellStart"/>
      <w:r>
        <w:rPr>
          <w:rFonts w:ascii="Cambria" w:eastAsia="Cambria" w:hAnsi="Cambria" w:cs="Cambria"/>
          <w:color w:val="000000"/>
          <w:sz w:val="22"/>
          <w:szCs w:val="22"/>
        </w:rPr>
        <w:t>THL:n</w:t>
      </w:r>
      <w:proofErr w:type="spellEnd"/>
      <w:r>
        <w:rPr>
          <w:rFonts w:ascii="Cambria" w:eastAsia="Cambria" w:hAnsi="Cambria" w:cs="Cambria"/>
          <w:color w:val="000000"/>
          <w:sz w:val="22"/>
          <w:szCs w:val="22"/>
        </w:rPr>
        <w:t xml:space="preserve"> covid19-pandemian viestinnässä.</w:t>
      </w:r>
    </w:p>
    <w:p w14:paraId="2B28FF11" w14:textId="77777777" w:rsidR="00C56BAC" w:rsidRDefault="00C56BAC" w:rsidP="00C56BAC">
      <w:pPr>
        <w:spacing w:line="276" w:lineRule="auto"/>
        <w:rPr>
          <w:rFonts w:ascii="Cambria" w:eastAsia="Cambria" w:hAnsi="Cambria" w:cs="Cambria"/>
          <w:color w:val="2F5496"/>
          <w:sz w:val="22"/>
          <w:szCs w:val="22"/>
          <w:u w:val="single"/>
        </w:rPr>
      </w:pPr>
      <w:r>
        <w:rPr>
          <w:rFonts w:ascii="Cambria" w:eastAsia="Cambria" w:hAnsi="Cambria" w:cs="Cambria"/>
          <w:color w:val="2F5496"/>
          <w:sz w:val="22"/>
          <w:szCs w:val="22"/>
          <w:u w:val="single"/>
        </w:rPr>
        <w:t>Suositus</w:t>
      </w:r>
    </w:p>
    <w:p w14:paraId="5ECE0830"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Viestijänä THL ja pyrkimyksenä lisätä ihmisten kasvomaskin käyttöä koronapandemian hillitsemiseksi. Suosituksessa tarjotaan tietoa tartuntataudin leviämisestä ja kasvomaskin mahdollisuuksista ehkäistä tartuntojen leviämistä (järkisyihin vetoaminen: faktatieto, syy-seuraussuhteet). Lisäksi vedotaan ihmisten vastuuntuntoon, sillä kasvomaskien suoja perustuu siihen, että mahdollisimman moni käyttäisi niitä, ja oireeton taudinkantaja voi tartuttaa muita (tunteisiin vetoaminen: vastuuntunto, järkisyihin vetoaminen: faktatieto, syy-seuraussuhteet). </w:t>
      </w:r>
    </w:p>
    <w:p w14:paraId="211D118D" w14:textId="77777777" w:rsidR="00C56BAC" w:rsidRDefault="00C56BAC" w:rsidP="00C56BAC">
      <w:pPr>
        <w:spacing w:line="276" w:lineRule="auto"/>
        <w:rPr>
          <w:rFonts w:ascii="Cambria" w:eastAsia="Cambria" w:hAnsi="Cambria" w:cs="Cambria"/>
          <w:color w:val="2F5496"/>
          <w:sz w:val="22"/>
          <w:szCs w:val="22"/>
        </w:rPr>
      </w:pPr>
    </w:p>
    <w:p w14:paraId="73370837" w14:textId="77777777" w:rsidR="00C56BAC" w:rsidRDefault="00C56BAC" w:rsidP="00C56BAC">
      <w:pPr>
        <w:spacing w:line="276" w:lineRule="auto"/>
        <w:rPr>
          <w:rFonts w:ascii="Cambria" w:eastAsia="Cambria" w:hAnsi="Cambria" w:cs="Cambria"/>
          <w:color w:val="2F5496"/>
          <w:sz w:val="22"/>
          <w:szCs w:val="22"/>
          <w:u w:val="single"/>
        </w:rPr>
      </w:pPr>
      <w:r>
        <w:rPr>
          <w:rFonts w:ascii="Cambria" w:eastAsia="Cambria" w:hAnsi="Cambria" w:cs="Cambria"/>
          <w:color w:val="2F5496"/>
          <w:sz w:val="22"/>
          <w:szCs w:val="22"/>
          <w:u w:val="single"/>
        </w:rPr>
        <w:t>Uutisotsikoita</w:t>
      </w:r>
    </w:p>
    <w:p w14:paraId="21431673" w14:textId="77777777" w:rsidR="00C56BAC" w:rsidRDefault="00C56BAC" w:rsidP="00C56BAC">
      <w:pPr>
        <w:spacing w:line="276" w:lineRule="auto"/>
        <w:rPr>
          <w:rFonts w:ascii="Cambria" w:eastAsia="Cambria" w:hAnsi="Cambria" w:cs="Cambria"/>
          <w:i/>
          <w:color w:val="2F5496"/>
          <w:sz w:val="22"/>
          <w:szCs w:val="22"/>
        </w:rPr>
      </w:pPr>
      <w:r>
        <w:rPr>
          <w:rFonts w:ascii="Cambria" w:eastAsia="Cambria" w:hAnsi="Cambria" w:cs="Cambria"/>
          <w:i/>
          <w:color w:val="2F5496"/>
          <w:sz w:val="22"/>
          <w:szCs w:val="22"/>
        </w:rPr>
        <w:t xml:space="preserve">Uudenmaan eristäminen päättyy tänään – Marin ”Nyt ei ole oikea aika mennä mökeille” </w:t>
      </w:r>
    </w:p>
    <w:p w14:paraId="25C105FB"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Ilta-Sanomat hyödyntää otsikossaan pääministerin ytimekästä toimintaohjetta, joka herättää havainnollisuudellaan myös hilpeyttä (järkisyyt: auktoriteetti, muut keinot: ohje, huumori).  </w:t>
      </w:r>
    </w:p>
    <w:p w14:paraId="790F3D9B" w14:textId="77777777" w:rsidR="00C56BAC" w:rsidRDefault="00C56BAC" w:rsidP="00C56BAC">
      <w:pPr>
        <w:spacing w:line="276" w:lineRule="auto"/>
        <w:rPr>
          <w:rFonts w:ascii="Cambria" w:eastAsia="Cambria" w:hAnsi="Cambria" w:cs="Cambria"/>
          <w:color w:val="2F5496"/>
          <w:sz w:val="22"/>
          <w:szCs w:val="22"/>
        </w:rPr>
      </w:pPr>
    </w:p>
    <w:p w14:paraId="58BB51D4" w14:textId="77777777" w:rsidR="00C56BAC" w:rsidRDefault="00C56BAC" w:rsidP="00C56BAC">
      <w:pPr>
        <w:spacing w:line="276" w:lineRule="auto"/>
        <w:rPr>
          <w:rFonts w:ascii="Cambria" w:eastAsia="Cambria" w:hAnsi="Cambria" w:cs="Cambria"/>
          <w:i/>
          <w:color w:val="2F5496"/>
          <w:sz w:val="22"/>
          <w:szCs w:val="22"/>
        </w:rPr>
      </w:pPr>
      <w:proofErr w:type="spellStart"/>
      <w:r>
        <w:rPr>
          <w:rFonts w:ascii="Cambria" w:eastAsia="Cambria" w:hAnsi="Cambria" w:cs="Cambria"/>
          <w:i/>
          <w:color w:val="2F5496"/>
          <w:sz w:val="22"/>
          <w:szCs w:val="22"/>
        </w:rPr>
        <w:t>THL:n</w:t>
      </w:r>
      <w:proofErr w:type="spellEnd"/>
      <w:r>
        <w:rPr>
          <w:rFonts w:ascii="Cambria" w:eastAsia="Cambria" w:hAnsi="Cambria" w:cs="Cambria"/>
          <w:i/>
          <w:color w:val="2F5496"/>
          <w:sz w:val="22"/>
          <w:szCs w:val="22"/>
        </w:rPr>
        <w:t xml:space="preserve"> ylilääkäri muistuttaa: Korona on vakava tauti myös nuorille – ”Kyllä sitä toivoisi, että yksilön päätös kallistuisi rokotteen ottamisen puolelle” </w:t>
      </w:r>
    </w:p>
    <w:p w14:paraId="253F08DC"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Ilta-Sanomat hyödyntää otsikossaan asiantuntijan suositusta, jossa vedotaan nuorten </w:t>
      </w:r>
      <w:proofErr w:type="spellStart"/>
      <w:r>
        <w:rPr>
          <w:rFonts w:ascii="Cambria" w:eastAsia="Cambria" w:hAnsi="Cambria" w:cs="Cambria"/>
          <w:color w:val="2F5496"/>
          <w:sz w:val="22"/>
          <w:szCs w:val="22"/>
        </w:rPr>
        <w:t>rokottautumisen</w:t>
      </w:r>
      <w:proofErr w:type="spellEnd"/>
      <w:r>
        <w:rPr>
          <w:rFonts w:ascii="Cambria" w:eastAsia="Cambria" w:hAnsi="Cambria" w:cs="Cambria"/>
          <w:color w:val="2F5496"/>
          <w:sz w:val="22"/>
          <w:szCs w:val="22"/>
        </w:rPr>
        <w:t xml:space="preserve"> puolesta (järkisyyt: asiantuntija, ohje). Rokotteen ottamiseen kannustetaan muistuttamalla taudin vaarallisuudesta myös nuorille (järkisyyt: faktatieto, syy-seuraussuhteet). </w:t>
      </w:r>
    </w:p>
    <w:p w14:paraId="7E43A766" w14:textId="77777777" w:rsidR="00C56BAC" w:rsidRDefault="00C56BAC" w:rsidP="00C56BAC">
      <w:pPr>
        <w:spacing w:line="276" w:lineRule="auto"/>
        <w:rPr>
          <w:rFonts w:ascii="Cambria" w:eastAsia="Cambria" w:hAnsi="Cambria" w:cs="Cambria"/>
          <w:color w:val="2F5496"/>
          <w:sz w:val="22"/>
          <w:szCs w:val="22"/>
        </w:rPr>
      </w:pPr>
    </w:p>
    <w:p w14:paraId="0479FF33" w14:textId="77777777" w:rsidR="00C56BAC" w:rsidRDefault="00C56BAC" w:rsidP="00C56BAC">
      <w:pPr>
        <w:spacing w:line="276" w:lineRule="auto"/>
        <w:rPr>
          <w:rFonts w:ascii="Cambria" w:eastAsia="Cambria" w:hAnsi="Cambria" w:cs="Cambria"/>
          <w:i/>
          <w:color w:val="2F5496"/>
          <w:sz w:val="22"/>
          <w:szCs w:val="22"/>
        </w:rPr>
      </w:pPr>
      <w:r>
        <w:rPr>
          <w:rFonts w:ascii="Cambria" w:eastAsia="Cambria" w:hAnsi="Cambria" w:cs="Cambria"/>
          <w:i/>
          <w:color w:val="2F5496"/>
          <w:sz w:val="22"/>
          <w:szCs w:val="22"/>
        </w:rPr>
        <w:t>Halla-aho panee pisteen kiemurtelulleen Yle Newsin haastattelussa: Otan koronarokotuksen heti, kun tulee minun vuoroni</w:t>
      </w:r>
    </w:p>
    <w:p w14:paraId="574006D7"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Yle hyödyntää puoluejohtajan kannanottoa/esimerkkiä </w:t>
      </w:r>
      <w:proofErr w:type="spellStart"/>
      <w:r>
        <w:rPr>
          <w:rFonts w:ascii="Cambria" w:eastAsia="Cambria" w:hAnsi="Cambria" w:cs="Cambria"/>
          <w:color w:val="2F5496"/>
          <w:sz w:val="22"/>
          <w:szCs w:val="22"/>
        </w:rPr>
        <w:t>rokottautumisen</w:t>
      </w:r>
      <w:proofErr w:type="spellEnd"/>
      <w:r>
        <w:rPr>
          <w:rFonts w:ascii="Cambria" w:eastAsia="Cambria" w:hAnsi="Cambria" w:cs="Cambria"/>
          <w:color w:val="2F5496"/>
          <w:sz w:val="22"/>
          <w:szCs w:val="22"/>
        </w:rPr>
        <w:t xml:space="preserve"> puolesta (järkisyyt: auktoriteetti). </w:t>
      </w:r>
    </w:p>
    <w:p w14:paraId="4E53529A" w14:textId="77777777" w:rsidR="00C56BAC" w:rsidRDefault="00C56BAC" w:rsidP="00C56BAC">
      <w:pPr>
        <w:spacing w:line="276" w:lineRule="auto"/>
        <w:rPr>
          <w:rFonts w:ascii="Cambria" w:eastAsia="Cambria" w:hAnsi="Cambria" w:cs="Cambria"/>
          <w:color w:val="2F5496"/>
          <w:sz w:val="22"/>
          <w:szCs w:val="22"/>
        </w:rPr>
      </w:pPr>
    </w:p>
    <w:p w14:paraId="6D94B862" w14:textId="77777777" w:rsidR="00C56BAC" w:rsidRDefault="00C56BAC" w:rsidP="00C56BAC">
      <w:pPr>
        <w:spacing w:line="276" w:lineRule="auto"/>
        <w:rPr>
          <w:rFonts w:ascii="Cambria" w:eastAsia="Cambria" w:hAnsi="Cambria" w:cs="Cambria"/>
          <w:color w:val="2F5496"/>
          <w:sz w:val="22"/>
          <w:szCs w:val="22"/>
          <w:u w:val="single"/>
        </w:rPr>
      </w:pPr>
      <w:r>
        <w:rPr>
          <w:rFonts w:ascii="Cambria" w:eastAsia="Cambria" w:hAnsi="Cambria" w:cs="Cambria"/>
          <w:color w:val="2F5496"/>
          <w:sz w:val="22"/>
          <w:szCs w:val="22"/>
          <w:u w:val="single"/>
        </w:rPr>
        <w:t>Kampanjamainokset</w:t>
      </w:r>
    </w:p>
    <w:p w14:paraId="7D726AA7"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Valtioneuvosto ja THL hyödyntävät kampanjassaan julkisuuden henkilöiden esimerkkiä maskinkäytön lisäämiseksi laajasti eri kohderyhmissä (nuoret - vanhat). Kampanjan nimi ”Pidetään huolta toisistamme, aloitetaan itsestämme” vetoaa ihmisten vastuuntuntoon: jokaisen toiminta vaikuttaa myös muihin ihmisiin ja pandemian nujertamiseen. Lisäksi ”viisi valttia” tarjoaa faktatietoa siitä, miten koronan leviämistä voidaan ehkäistä ja mitä tulee tehdä, jos on oireita (järkisyyt: auktoriteetti, yleisyys; faktatieto, syy-seuraussuhteet; tunteet: vastuuntunto, turvallisuus; muut keinot: ohje)</w:t>
      </w:r>
    </w:p>
    <w:p w14:paraId="29728DF8" w14:textId="77777777" w:rsidR="00C56BAC" w:rsidRDefault="00C56BAC" w:rsidP="00C56BAC">
      <w:pPr>
        <w:spacing w:line="276" w:lineRule="auto"/>
        <w:rPr>
          <w:rFonts w:ascii="Cambria" w:eastAsia="Cambria" w:hAnsi="Cambria" w:cs="Cambria"/>
          <w:sz w:val="22"/>
          <w:szCs w:val="22"/>
        </w:rPr>
      </w:pPr>
    </w:p>
    <w:p w14:paraId="2ABD1BF7" w14:textId="77777777" w:rsidR="00C56BAC" w:rsidRDefault="00C56BAC" w:rsidP="00C56BAC">
      <w:pPr>
        <w:pBdr>
          <w:top w:val="nil"/>
          <w:left w:val="nil"/>
          <w:bottom w:val="nil"/>
          <w:right w:val="nil"/>
          <w:between w:val="nil"/>
        </w:pBdr>
        <w:spacing w:after="160" w:line="276" w:lineRule="auto"/>
        <w:rPr>
          <w:rFonts w:ascii="Cambria" w:eastAsia="Cambria" w:hAnsi="Cambria" w:cs="Cambria"/>
          <w:color w:val="000000"/>
          <w:sz w:val="22"/>
          <w:szCs w:val="22"/>
        </w:rPr>
      </w:pPr>
      <w:r>
        <w:rPr>
          <w:rFonts w:ascii="Cambria" w:eastAsia="Cambria" w:hAnsi="Cambria" w:cs="Cambria"/>
          <w:color w:val="000000"/>
          <w:sz w:val="22"/>
          <w:szCs w:val="22"/>
        </w:rPr>
        <w:t xml:space="preserve">b. Analysoi myös jokin itse etsimäsi pandemiaa käsittelevä uutinen, ohjeistus tai mainos.  </w:t>
      </w:r>
    </w:p>
    <w:p w14:paraId="33E6A767" w14:textId="77777777" w:rsidR="00C56BAC" w:rsidRDefault="00C56BAC" w:rsidP="00C56BAC">
      <w:pPr>
        <w:spacing w:line="276" w:lineRule="auto"/>
        <w:rPr>
          <w:rFonts w:ascii="Cambria" w:eastAsia="Cambria" w:hAnsi="Cambria" w:cs="Cambria"/>
          <w:color w:val="2F5496"/>
          <w:sz w:val="22"/>
          <w:szCs w:val="22"/>
        </w:rPr>
      </w:pPr>
      <w:r>
        <w:rPr>
          <w:rFonts w:ascii="Cambria" w:eastAsia="Cambria" w:hAnsi="Cambria" w:cs="Cambria"/>
          <w:color w:val="2F5496"/>
          <w:sz w:val="22"/>
          <w:szCs w:val="22"/>
        </w:rPr>
        <w:t xml:space="preserve">Opiskelijan oma vastaus. </w:t>
      </w:r>
    </w:p>
    <w:p w14:paraId="1EA2C193" w14:textId="77777777" w:rsidR="0041115B" w:rsidRDefault="0041115B">
      <w:pPr>
        <w:spacing w:line="276" w:lineRule="auto"/>
        <w:rPr>
          <w:rFonts w:ascii="Cambria" w:eastAsia="Cambria" w:hAnsi="Cambria" w:cs="Cambria"/>
          <w:b/>
          <w:sz w:val="22"/>
          <w:szCs w:val="22"/>
        </w:rPr>
      </w:pPr>
    </w:p>
    <w:sectPr w:rsidR="0041115B">
      <w:headerReference w:type="even" r:id="rId7"/>
      <w:headerReference w:type="default" r:id="rId8"/>
      <w:footerReference w:type="even" r:id="rId9"/>
      <w:footerReference w:type="default" r:id="rId10"/>
      <w:headerReference w:type="first" r:id="rId11"/>
      <w:footerReference w:type="first" r:id="rId12"/>
      <w:pgSz w:w="11900" w:h="16840"/>
      <w:pgMar w:top="1702" w:right="1134" w:bottom="1560"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9CDA" w14:textId="77777777" w:rsidR="00A15051" w:rsidRDefault="00A15051">
      <w:r>
        <w:separator/>
      </w:r>
    </w:p>
  </w:endnote>
  <w:endnote w:type="continuationSeparator" w:id="0">
    <w:p w14:paraId="388CC734" w14:textId="77777777" w:rsidR="00A15051" w:rsidRDefault="00A1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1B5D" w14:textId="77777777" w:rsidR="0041115B" w:rsidRDefault="0041115B">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1F9F" w14:textId="77777777" w:rsidR="0041115B" w:rsidRDefault="00962F4B">
    <w:pPr>
      <w:pBdr>
        <w:top w:val="nil"/>
        <w:left w:val="nil"/>
        <w:bottom w:val="nil"/>
        <w:right w:val="nil"/>
        <w:between w:val="nil"/>
      </w:pBdr>
      <w:tabs>
        <w:tab w:val="center" w:pos="4819"/>
        <w:tab w:val="right" w:pos="9638"/>
      </w:tabs>
      <w:rPr>
        <w:color w:val="808080"/>
        <w:sz w:val="18"/>
        <w:szCs w:val="18"/>
      </w:rPr>
    </w:pPr>
    <w:r>
      <w:rPr>
        <w:color w:val="808080"/>
        <w:sz w:val="18"/>
        <w:szCs w:val="18"/>
      </w:rPr>
      <w:t xml:space="preserve">© Jaana Kinnunen, Tiina Lehtinen, Ismo Lehtinen, </w:t>
    </w:r>
  </w:p>
  <w:p w14:paraId="2396D421" w14:textId="77777777" w:rsidR="0041115B" w:rsidRDefault="00962F4B">
    <w:pPr>
      <w:pBdr>
        <w:top w:val="nil"/>
        <w:left w:val="nil"/>
        <w:bottom w:val="nil"/>
        <w:right w:val="nil"/>
        <w:between w:val="nil"/>
      </w:pBdr>
      <w:tabs>
        <w:tab w:val="center" w:pos="4819"/>
        <w:tab w:val="right" w:pos="9638"/>
      </w:tabs>
      <w:rPr>
        <w:color w:val="808080"/>
        <w:sz w:val="18"/>
        <w:szCs w:val="18"/>
      </w:rPr>
    </w:pPr>
    <w:r>
      <w:rPr>
        <w:color w:val="8080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213" w14:textId="77777777" w:rsidR="0041115B" w:rsidRDefault="0041115B">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C8FE" w14:textId="77777777" w:rsidR="00A15051" w:rsidRDefault="00A15051">
      <w:r>
        <w:separator/>
      </w:r>
    </w:p>
  </w:footnote>
  <w:footnote w:type="continuationSeparator" w:id="0">
    <w:p w14:paraId="5595E9CA" w14:textId="77777777" w:rsidR="00A15051" w:rsidRDefault="00A1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F4DC" w14:textId="77777777" w:rsidR="0041115B" w:rsidRDefault="0041115B">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5C0" w14:textId="77777777" w:rsidR="0041115B" w:rsidRDefault="00962F4B">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1" locked="0" layoutInCell="1" hidden="0" allowOverlap="1" wp14:anchorId="6BED98A0" wp14:editId="15052D03">
          <wp:simplePos x="0" y="0"/>
          <wp:positionH relativeFrom="column">
            <wp:posOffset>5271770</wp:posOffset>
          </wp:positionH>
          <wp:positionV relativeFrom="paragraph">
            <wp:posOffset>-219074</wp:posOffset>
          </wp:positionV>
          <wp:extent cx="1288800" cy="5364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8800" cy="53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F957" w14:textId="77777777" w:rsidR="0041115B" w:rsidRDefault="0041115B">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5B"/>
    <w:rsid w:val="0041115B"/>
    <w:rsid w:val="005919F7"/>
    <w:rsid w:val="00962F4B"/>
    <w:rsid w:val="00A15051"/>
    <w:rsid w:val="00C56B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835B697"/>
  <w15:docId w15:val="{19C625FC-8333-A44D-A805-33CE09F6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7ixtL97VP/EbC5aa7i3xn9exUQ==">AMUW2mXekZFVD1uZiJNlSgNW3+VEeyyVLMcz1I4m1BoZ+eHIWNsVseevGQ8J/f+WPCxJFY+pDI5GaJB7ZP1ri0M/S1VkHxuLAYev905PXKtOBGye5hcb0Oc=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1138</Words>
  <Characters>9222</Characters>
  <Application>Microsoft Office Word</Application>
  <DocSecurity>0</DocSecurity>
  <Lines>76</Lines>
  <Paragraphs>20</Paragraphs>
  <ScaleCrop>false</ScaleCrop>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Väkelä</dc:creator>
  <cp:lastModifiedBy>Iiris Vaahtojärvi</cp:lastModifiedBy>
  <cp:revision>3</cp:revision>
  <dcterms:created xsi:type="dcterms:W3CDTF">2021-09-03T09:52:00Z</dcterms:created>
  <dcterms:modified xsi:type="dcterms:W3CDTF">2021-10-29T11:58:00Z</dcterms:modified>
</cp:coreProperties>
</file>