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wmf" ContentType="image/x-wmf"/>
  <Override PartName="/word/media/image2.wmf" ContentType="image/x-wmf"/>
  <Override PartName="/word/media/image1.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t xml:space="preserve">ET 5 </w:t>
      </w:r>
    </w:p>
    <w:tbl>
      <w:tblPr>
        <w:tblW w:w="9638" w:type="dxa"/>
        <w:jc w:val="left"/>
        <w:tblInd w:w="73" w:type="dxa"/>
        <w:tblBorders>
          <w:top w:val="single" w:sz="2" w:space="0" w:color="FFFFFF"/>
          <w:left w:val="single" w:sz="2" w:space="0" w:color="FFFFFF"/>
          <w:bottom w:val="single" w:sz="2" w:space="0" w:color="FFFFFF"/>
          <w:insideH w:val="single" w:sz="2" w:space="0" w:color="FFFFFF"/>
          <w:right w:val="single" w:sz="2" w:space="0" w:color="FFFFFF"/>
          <w:insideV w:val="single" w:sz="2" w:space="0" w:color="FFFFFF"/>
        </w:tblBorders>
        <w:tblCellMar>
          <w:top w:w="45" w:type="dxa"/>
          <w:left w:w="72" w:type="dxa"/>
          <w:bottom w:w="45" w:type="dxa"/>
          <w:right w:w="75" w:type="dxa"/>
        </w:tblCellMar>
      </w:tblPr>
      <w:tblGrid>
        <w:gridCol w:w="9638"/>
      </w:tblGrid>
      <w:tr>
        <w:trPr>
          <w:cantSplit w:val="false"/>
        </w:trPr>
        <w:tc>
          <w:tcPr>
            <w:tcW w:w="963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insideH w:val="single" w:sz="2" w:space="0" w:color="FFFFFF"/>
              <w:right w:val="single" w:sz="2" w:space="0" w:color="FFFFFF"/>
              <w:insideV w:val="single" w:sz="2" w:space="0" w:color="FFFFFF"/>
            </w:tcBorders>
            <w:shd w:fill="FFFFFF" w:val="clear"/>
            <w:tcMar>
              <w:left w:w="72" w:type="dxa"/>
            </w:tcMar>
            <w:vAlign w:val="center"/>
          </w:tcPr>
          <w:p>
            <w:pPr>
              <w:pStyle w:val="Normal"/>
              <w:pBdr>
                <w:top w:val="single" w:sz="2" w:space="0" w:color="6699CC"/>
                <w:left w:val="single" w:sz="2" w:space="0" w:color="6699CC"/>
                <w:bottom w:val="single" w:sz="2" w:space="0" w:color="6699CC"/>
                <w:right w:val="single" w:sz="2" w:space="0" w:color="6699CC"/>
              </w:pBdr>
              <w:spacing w:lineRule="auto" w:line="240" w:before="0" w:after="0"/>
              <w:outlineLvl w:val="3"/>
              <w:rPr>
                <w:rFonts w:eastAsia="Arial Unicode MS" w:cs="Arial Unicode MS" w:ascii="Verdana" w:hAnsi="Verdana"/>
                <w:b/>
                <w:bCs/>
                <w:color w:val="000000"/>
                <w:sz w:val="23"/>
                <w:szCs w:val="23"/>
                <w:lang w:eastAsia="fi-FI"/>
              </w:rPr>
            </w:pPr>
            <w:r>
              <w:rPr>
                <w:rFonts w:eastAsia="Arial Unicode MS" w:cs="Arial Unicode MS" w:ascii="Verdana" w:hAnsi="Verdana"/>
                <w:b/>
                <w:bCs/>
                <w:color w:val="000000"/>
                <w:sz w:val="23"/>
                <w:szCs w:val="23"/>
                <w:lang w:eastAsia="fi-FI"/>
              </w:rPr>
              <w:t>ET5: Maailman selittäminen katsomusperinteissä</w:t>
            </w:r>
          </w:p>
        </w:tc>
      </w:tr>
      <w:tr>
        <w:trPr>
          <w:cantSplit w:val="false"/>
        </w:trPr>
        <w:tc>
          <w:tcPr>
            <w:tcW w:w="9638" w:type="dxa"/>
            <w:tcBorders>
              <w:top w:val="nil"/>
              <w:left w:val="single" w:sz="2" w:space="0" w:color="336699"/>
              <w:bottom w:val="single" w:sz="2" w:space="0" w:color="336699"/>
              <w:insideH w:val="single" w:sz="2" w:space="0" w:color="336699"/>
              <w:right w:val="single" w:sz="2" w:space="0" w:color="336699"/>
              <w:insideV w:val="single" w:sz="2" w:space="0" w:color="336699"/>
            </w:tcBorders>
            <w:shd w:fill="FFFFFF" w:val="clear"/>
            <w:tcMar>
              <w:top w:w="75" w:type="dxa"/>
              <w:left w:w="72" w:type="dxa"/>
              <w:bottom w:w="22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Arial Unicode MS" w:cs="Arial Unicode MS" w:ascii="Verdana" w:hAnsi="Verdana"/>
                <w:color w:val="000000"/>
                <w:sz w:val="21"/>
                <w:szCs w:val="21"/>
                <w:lang w:eastAsia="fi-FI"/>
              </w:rPr>
            </w:pPr>
            <w:r>
              <w:rPr>
                <w:rFonts w:eastAsia="Arial Unicode MS" w:cs="Arial Unicode MS" w:ascii="Verdana" w:hAnsi="Verdana"/>
                <w:color w:val="000000"/>
                <w:sz w:val="21"/>
                <w:szCs w:val="21"/>
                <w:lang w:eastAsia="fi-FI"/>
              </w:rPr>
              <w:t>Kurssilla pohditaan erilaisia tapoja selittää maailmaa myyttisissä, uskonnollisissa ja katsomuksellisissa perinteissä. Kurssilla perehdytään erilaisten katsomusten syntyyn, historiaan ja tutkimukseen.</w:t>
              <w:br/>
              <w:br/>
            </w:r>
            <w:r>
              <w:rPr>
                <w:rFonts w:eastAsia="Arial Unicode MS" w:cs="Arial Unicode MS" w:ascii="Verdana" w:hAnsi="Verdana"/>
                <w:b/>
                <w:bCs/>
                <w:color w:val="000000"/>
                <w:sz w:val="21"/>
                <w:szCs w:val="21"/>
                <w:lang w:eastAsia="fi-FI"/>
              </w:rPr>
              <w:t>Tavoitteet</w:t>
            </w:r>
            <w:r>
              <w:rPr>
                <w:rFonts w:eastAsia="Arial Unicode MS" w:cs="Arial Unicode MS" w:ascii="Verdana" w:hAnsi="Verdana"/>
                <w:color w:val="000000"/>
                <w:sz w:val="21"/>
                <w:szCs w:val="21"/>
                <w:lang w:eastAsia="fi-FI"/>
              </w:rPr>
              <w:br/>
              <w:t>Kurssin tavoitteena on, että opiskelija</w:t>
              <w:br/>
              <w:t>• kehittää herkkyyttään arvioida arvostuksissa ja uskomusjärjestelmissä esiintyviä eroja ja yhtäläisyyksiä</w:t>
              <w:br/>
              <w:t>• oppii arvioimaan uskomuksia ja elämänkatsomuksia koskevia väitteitä</w:t>
              <w:br/>
              <w:t>• tuntee eri kulttuureissa vaikuttavia ja tärkeinä pidettyjä uskomusjärjestelmiä ja elämänkatsomuksellisia ratkaisuja sekä kasvattaa tietämystään niiden taustoista sekä niiden välittymisestä nykyajassa</w:t>
              <w:br/>
              <w:t>• ymmärtää myyttien ja uskonnollisten käsitysten historiallisen synnyn ja nykyisen merkityksen maailman ilmiöiden selittäjinä</w:t>
              <w:br/>
              <w:t>• oppii hahmottamaan maailman selittämistä eurooppalaisessa kulttuuriperinnössä.</w:t>
              <w:br/>
              <w:br/>
            </w:r>
            <w:r>
              <w:rPr>
                <w:rFonts w:eastAsia="Arial Unicode MS" w:cs="Arial Unicode MS" w:ascii="Verdana" w:hAnsi="Verdana"/>
                <w:b/>
                <w:bCs/>
                <w:color w:val="000000"/>
                <w:sz w:val="21"/>
                <w:szCs w:val="21"/>
                <w:lang w:eastAsia="fi-FI"/>
              </w:rPr>
              <w:t>Keskeiset sisällöt</w:t>
            </w:r>
            <w:r>
              <w:rPr>
                <w:rFonts w:eastAsia="Arial Unicode MS" w:cs="Arial Unicode MS" w:ascii="Verdana" w:hAnsi="Verdana"/>
                <w:color w:val="000000"/>
                <w:sz w:val="21"/>
                <w:szCs w:val="21"/>
                <w:lang w:eastAsia="fi-FI"/>
              </w:rPr>
              <w:br/>
              <w:t>• maailman myyttinen selittäminen ennen ja nyt</w:t>
              <w:br/>
              <w:t>• uskonnon ja uskonnollisuuden olemus</w:t>
              <w:br/>
              <w:t>• uskontokritiikki: sosiologinen, moraalinen, antropologinen ja psykologinen</w:t>
              <w:br/>
              <w:t>• ateismi ja agnostismi</w:t>
              <w:br/>
              <w:t>• sekulaarin humanismin ja vapaa-ajattelun historiaa ja nykysuuntauksia</w:t>
              <w:br/>
              <w:t>• humanismi ja kristinusko länsimaiden katsomuksellisina perusvirtauksina</w:t>
            </w:r>
          </w:p>
        </w:tc>
      </w:tr>
    </w:tbl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Style w:val="Internetlinkki"/>
        </w:rPr>
      </w:pPr>
      <w:hyperlink r:id="rId2">
        <w:r>
          <w:rPr>
            <w:rStyle w:val="Internetlinkki"/>
          </w:rPr>
          <w:t>Linkkejä</w:t>
        </w:r>
      </w:hyperlink>
      <w:r>
        <w:rPr/>
        <w:t xml:space="preserve"> 1.  </w:t>
      </w:r>
      <w:hyperlink r:id="rId3">
        <w:r>
          <w:rPr>
            <w:rStyle w:val="Internetlinkki"/>
          </w:rPr>
          <w:t>http://fi.wikibooks.org/wiki/ET5_Todellisuusk%C3%A4sitykset</w:t>
        </w:r>
      </w:hyperlink>
    </w:p>
    <w:p>
      <w:pPr>
        <w:pStyle w:val="Normal"/>
        <w:rPr>
          <w:rStyle w:val="Internetlinkki"/>
        </w:rPr>
      </w:pPr>
      <w:r>
        <w:rPr/>
        <w:t xml:space="preserve"> </w:t>
      </w:r>
      <w:r>
        <w:rPr/>
        <w:t xml:space="preserve">2. </w:t>
      </w:r>
      <w:hyperlink r:id="rId4">
        <w:r>
          <w:rPr>
            <w:rStyle w:val="Internetlinkki"/>
          </w:rPr>
          <w:t>http://oppiminen.yle.fi/abitreenit/elamankatsomustieto/maailman-selittaminen-et5</w:t>
        </w:r>
      </w:hyperlink>
    </w:p>
    <w:p>
      <w:pPr>
        <w:pStyle w:val="Normal"/>
        <w:rPr/>
      </w:pPr>
      <w:r>
        <w:rPr/>
        <w:t>Vastaa seuraaviin kysymyksiin:</w:t>
      </w:r>
    </w:p>
    <w:p>
      <w:pPr>
        <w:pStyle w:val="ListParagraph"/>
        <w:spacing w:lineRule="auto" w:line="240" w:before="0" w:after="0"/>
        <w:contextualSpacing/>
        <w:rPr>
          <w:rFonts w:cs="TimesNewRomanPSMT" w:ascii="TimesNewRomanPSMT" w:hAnsi="TimesNewRomanPSMT"/>
          <w:sz w:val="24"/>
          <w:szCs w:val="24"/>
        </w:rPr>
      </w:pPr>
      <w:r>
        <w:rPr>
          <w:rFonts w:cs="TimesNewRomanPSMT" w:ascii="TimesNewRomanPSMT" w:hAnsi="TimesNewRomanPSMT"/>
          <w:sz w:val="24"/>
          <w:szCs w:val="24"/>
        </w:rPr>
        <w:t xml:space="preserve">1) </w:t>
      </w:r>
      <w:r>
        <w:rPr>
          <w:rFonts w:cs="TimesNewRomanPSMT" w:ascii="TimesNewRomanPSMT" w:hAnsi="TimesNewRomanPSMT"/>
          <w:sz w:val="24"/>
          <w:szCs w:val="24"/>
        </w:rPr>
        <w:t>Onko Karl Marxin uskontokritiikki globaalisti pätevää?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0"/>
          <w:szCs w:val="20"/>
        </w:rPr>
      </w:pPr>
      <w:r>
        <w:rPr>
          <w:rFonts w:cs="TimesNewRomanPSMT" w:ascii="TimesNewRomanPSMT" w:hAnsi="TimesNewRomanPSMT"/>
          <w:sz w:val="20"/>
          <w:szCs w:val="20"/>
        </w:rPr>
        <w:t>Karl Marx (1818–1883)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Uskonnollinen kurjuus on yhtäältä todellisen kurjuuden ilmaus ja toisaalta vastalause tätä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todellista kurjuutta kohtaan. Uskonto on ahdistetun luontokappaleen huokaus, sydämettömän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maailman sydän aivan kuten se on hengettömien olosuhteiden henki. Se on kansan oopiumia.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Uskonnon kumoaminen kansan illusorisena onnena on sen todellisen onnen vaatimusta.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Vaatimus luopua tilaansa koskevista illuusioista on vaatimus luopua tilasta, joka tarvitsee illuusioita.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Uskonnon kritiikki on siis idussaan sen murheen laakson kritiikkiä, jonka sädekehänä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on uskonto.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0"/>
          <w:szCs w:val="20"/>
        </w:rPr>
      </w:pPr>
      <w:r>
        <w:rPr>
          <w:rFonts w:cs="TimesNewRomanPSMT" w:ascii="TimesNewRomanPSMT" w:hAnsi="TimesNewRomanPSMT"/>
          <w:sz w:val="20"/>
          <w:szCs w:val="20"/>
        </w:rPr>
        <w:t xml:space="preserve">Karl Marx, </w:t>
      </w:r>
      <w:r>
        <w:rPr>
          <w:rFonts w:cs="TimesNewRomanPS-ItalicMT" w:ascii="TimesNewRomanPS-ItalicMT" w:hAnsi="TimesNewRomanPS-ItalicMT"/>
          <w:i/>
          <w:iCs/>
          <w:sz w:val="20"/>
          <w:szCs w:val="20"/>
        </w:rPr>
        <w:t>Hegelin oikeusfilosofian kritiikkiä. Johdanto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0"/>
          <w:szCs w:val="20"/>
        </w:rPr>
      </w:pPr>
      <w:r>
        <w:rPr>
          <w:rFonts w:cs="TimesNewRomanPSMT" w:ascii="TimesNewRomanPSMT" w:hAnsi="TimesNewRomanPSMT"/>
          <w:sz w:val="20"/>
          <w:szCs w:val="20"/>
          <w:lang w:val="en-US"/>
        </w:rPr>
        <w:t>(</w:t>
      </w:r>
      <w:r>
        <w:rPr>
          <w:rFonts w:cs="TimesNewRomanPS-ItalicMT" w:ascii="TimesNewRomanPS-ItalicMT" w:hAnsi="TimesNewRomanPS-ItalicMT"/>
          <w:i/>
          <w:iCs/>
          <w:sz w:val="20"/>
          <w:szCs w:val="20"/>
          <w:lang w:val="en-US"/>
        </w:rPr>
        <w:t xml:space="preserve">Zur Kritik der Hegelschen Rechtsphilosophie. </w:t>
      </w:r>
      <w:r>
        <w:rPr>
          <w:rFonts w:cs="TimesNewRomanPS-ItalicMT" w:ascii="TimesNewRomanPS-ItalicMT" w:hAnsi="TimesNewRomanPS-ItalicMT"/>
          <w:i/>
          <w:iCs/>
          <w:sz w:val="20"/>
          <w:szCs w:val="20"/>
        </w:rPr>
        <w:t>Einleitung</w:t>
      </w:r>
      <w:r>
        <w:rPr>
          <w:rFonts w:cs="TimesNewRomanPSMT" w:ascii="TimesNewRomanPSMT" w:hAnsi="TimesNewRomanPSMT"/>
          <w:sz w:val="20"/>
          <w:szCs w:val="20"/>
        </w:rPr>
        <w:t>, 1844; suom. Vesa Oittinen, 1978)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0"/>
          <w:szCs w:val="20"/>
        </w:rPr>
      </w:pPr>
      <w:r>
        <w:rPr>
          <w:rFonts w:cs="TimesNewRomanPSMT" w:ascii="TimesNewRomanPSMT" w:hAnsi="TimesNewRomanPSMT"/>
          <w:sz w:val="20"/>
          <w:szCs w:val="20"/>
        </w:rPr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MT" w:ascii="TimesNewRomanPSMT" w:hAnsi="TimesNewRomanPSMT"/>
          <w:sz w:val="20"/>
          <w:szCs w:val="20"/>
        </w:rPr>
        <w:t xml:space="preserve">2) </w:t>
      </w: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Kristikunta häviää. Se katoaa ja kutistuu. Siitä ei kannata väitellä: olen oikeassa ja osoittautuu,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että olen oikeassa. Olemme nyt suositumpia kuin Jeesus. En tiedä kumpi menee edelle,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rock’n’roll vai kristikunta. Jeesus on ihan jees, mutta hänen opetuslapsensa olivat tylsiä ja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tavallisia. Heidän tapansa vääristää sitä tuhoaa sen minultakin.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0"/>
          <w:szCs w:val="20"/>
        </w:rPr>
      </w:pPr>
      <w:r>
        <w:rPr>
          <w:rFonts w:cs="TimesNewRomanPSMT" w:ascii="TimesNewRomanPSMT" w:hAnsi="TimesNewRomanPSMT"/>
          <w:sz w:val="20"/>
          <w:szCs w:val="20"/>
        </w:rPr>
        <w:t>John Lennon (1960-luku)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Kahdenkymmenen viime vuoden mittaan olemme oivaltaneet, että teidän kulttuurinne sydän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on uskontonne: kristinusko. Sen takia länsi on niin vahva. Sosiaalisen ja kulttuurisen elämän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kristillinen moraalinen perusta mahdollisti kapitalismin ilmaantumisen ja sen jälkeen onnistuneen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siirtymän demokraattiseen politiikkaan. Olemme tästä varmoja.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0"/>
          <w:szCs w:val="20"/>
        </w:rPr>
      </w:pPr>
      <w:r>
        <w:rPr>
          <w:rFonts w:cs="TimesNewRomanPSMT" w:ascii="TimesNewRomanPSMT" w:hAnsi="TimesNewRomanPSMT"/>
          <w:sz w:val="20"/>
          <w:szCs w:val="20"/>
        </w:rPr>
        <w:t>Kiinan sosiaalitieteiden akatemian nimeltä mainitsematon jäsen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0"/>
          <w:szCs w:val="20"/>
        </w:rPr>
      </w:pPr>
      <w:r>
        <w:rPr>
          <w:rFonts w:cs="TimesNewRomanPSMT" w:ascii="TimesNewRomanPSMT" w:hAnsi="TimesNewRomanPSMT"/>
          <w:sz w:val="20"/>
          <w:szCs w:val="20"/>
        </w:rPr>
        <w:t xml:space="preserve">Lainattu Niall Ferguson, </w:t>
      </w:r>
      <w:r>
        <w:rPr>
          <w:rFonts w:cs="TimesNewRomanPS-ItalicMT" w:ascii="TimesNewRomanPS-ItalicMT" w:hAnsi="TimesNewRomanPS-ItalicMT"/>
          <w:i/>
          <w:iCs/>
          <w:sz w:val="20"/>
          <w:szCs w:val="20"/>
        </w:rPr>
        <w:t xml:space="preserve">Sivilisaatio, me ja muut </w:t>
      </w:r>
      <w:r>
        <w:rPr>
          <w:rFonts w:cs="TimesNewRomanPSMT" w:ascii="TimesNewRomanPSMT" w:hAnsi="TimesNewRomanPSMT"/>
          <w:sz w:val="20"/>
          <w:szCs w:val="20"/>
        </w:rPr>
        <w:t>(2011); suom. Kimmo Pietiläinen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4"/>
          <w:szCs w:val="24"/>
        </w:rPr>
      </w:pPr>
      <w:r>
        <w:rPr>
          <w:rFonts w:cs="TimesNewRomanPSMT" w:ascii="TimesNewRomanPSMT" w:hAnsi="TimesNewRomanPSMT"/>
          <w:sz w:val="24"/>
          <w:szCs w:val="24"/>
        </w:rPr>
        <w:t>Kuvataanko yllä olevissa lainauksissa länsimaiden uskonnollista perinnettä ja tilannetta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4"/>
          <w:szCs w:val="24"/>
        </w:rPr>
      </w:pPr>
      <w:r>
        <w:rPr>
          <w:rFonts w:cs="TimesNewRomanPSMT" w:ascii="TimesNewRomanPSMT" w:hAnsi="TimesNewRomanPSMT"/>
          <w:sz w:val="24"/>
          <w:szCs w:val="24"/>
        </w:rPr>
        <w:t>osuvasti?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4"/>
          <w:szCs w:val="24"/>
        </w:rPr>
      </w:pPr>
      <w:r>
        <w:rPr>
          <w:rFonts w:cs="TimesNewRomanPSMT" w:ascii="TimesNewRomanPSMT" w:hAnsi="TimesNewRomanPSMT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MT" w:ascii="TimesNewRomanPSMT" w:hAnsi="TimesNewRomanPSMT"/>
          <w:sz w:val="24"/>
          <w:szCs w:val="24"/>
        </w:rPr>
        <w:t>3)</w:t>
      </w: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 xml:space="preserve"> Humanismi tähdentää, että henkilökohtaisen vapauden täytyy liittyä sosiaaliseen vastuuntuntoon.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Humanismi pyrkii rakentamaan maailmaa, jossa vapaa yksilö on vastuussa yhteiskunnalle,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ja tunnustaa sekä riippuvuutensa luonnolle ja vastuunsa siitä. Humanismi ei ole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sitoutunut uskonkappaleisiin, eikä se pyri sitomaan kannattajiaan jäykkiin oppirakennelmiin.</w:t>
      </w:r>
    </w:p>
    <w:p>
      <w:pPr>
        <w:pStyle w:val="Normal"/>
        <w:spacing w:lineRule="auto" w:line="240" w:before="0" w:after="0"/>
        <w:rPr>
          <w:rFonts w:cs="TimesNewRomanPS-ItalicMT" w:ascii="TimesNewRomanPS-ItalicMT" w:hAnsi="TimesNewRomanPS-ItalicMT"/>
          <w:i/>
          <w:iCs/>
          <w:sz w:val="24"/>
          <w:szCs w:val="24"/>
        </w:rPr>
      </w:pPr>
      <w:r>
        <w:rPr>
          <w:rFonts w:cs="TimesNewRomanPS-ItalicMT" w:ascii="TimesNewRomanPS-ItalicMT" w:hAnsi="TimesNewRomanPS-ItalicMT"/>
          <w:i/>
          <w:iCs/>
          <w:sz w:val="24"/>
          <w:szCs w:val="24"/>
        </w:rPr>
        <w:t>Näin se edistää vapaudesta syntyvää sivistystä.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0"/>
          <w:szCs w:val="20"/>
          <w:lang w:val="en-US"/>
        </w:rPr>
      </w:pPr>
      <w:r>
        <w:rPr>
          <w:rFonts w:cs="TimesNewRomanPSMT" w:ascii="TimesNewRomanPSMT" w:hAnsi="TimesNewRomanPSMT"/>
          <w:sz w:val="20"/>
          <w:szCs w:val="20"/>
          <w:lang w:val="en-US"/>
        </w:rPr>
        <w:t xml:space="preserve">Amsterdamin julistus 2002, </w:t>
      </w:r>
      <w:r>
        <w:rPr>
          <w:rFonts w:cs="TimesNewRomanPSMT" w:ascii="TimesNewRomanPSMT" w:hAnsi="TimesNewRomanPSMT"/>
          <w:sz w:val="18"/>
          <w:szCs w:val="18"/>
          <w:lang w:val="en-US"/>
        </w:rPr>
        <w:t>International Humanist and Ethical Union (</w:t>
      </w:r>
      <w:r>
        <w:rPr>
          <w:rFonts w:cs="TimesNewRomanPSMT" w:ascii="TimesNewRomanPSMT" w:hAnsi="TimesNewRomanPSMT"/>
          <w:sz w:val="20"/>
          <w:szCs w:val="20"/>
          <w:lang w:val="en-US"/>
        </w:rPr>
        <w:t>IHEU)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4"/>
          <w:szCs w:val="24"/>
        </w:rPr>
      </w:pPr>
      <w:r>
        <w:rPr>
          <w:rFonts w:cs="TimesNewRomanPSMT" w:ascii="TimesNewRomanPSMT" w:hAnsi="TimesNewRomanPSMT"/>
          <w:sz w:val="24"/>
          <w:szCs w:val="24"/>
        </w:rPr>
        <w:t>Miten näitä periaatteita voidaan toteuttaa käytännössä?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4"/>
          <w:szCs w:val="24"/>
        </w:rPr>
      </w:pPr>
      <w:r>
        <w:rPr>
          <w:rFonts w:cs="TimesNewRomanPSMT" w:ascii="TimesNewRomanPSMT" w:hAnsi="TimesNewRomanPSMT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4"/>
          <w:szCs w:val="24"/>
        </w:rPr>
      </w:pPr>
      <w:r>
        <w:rPr>
          <w:rFonts w:cs="Times-Roman" w:ascii="Times-Roman" w:hAnsi="Times-Roman"/>
          <w:sz w:val="24"/>
          <w:szCs w:val="24"/>
        </w:rPr>
        <w:t xml:space="preserve">4) </w:t>
      </w:r>
      <w:r>
        <w:rPr>
          <w:rFonts w:cs="TimesNewRomanPSMT" w:ascii="TimesNewRomanPSMT" w:hAnsi="TimesNewRomanPSMT"/>
          <w:sz w:val="24"/>
          <w:szCs w:val="24"/>
        </w:rPr>
        <w:t>Selosta vertaillen kahden valitsemasi historiallisesti merkittävän uskonnon oppeja.</w:t>
      </w:r>
    </w:p>
    <w:p>
      <w:pPr>
        <w:pStyle w:val="Normal"/>
        <w:spacing w:lineRule="auto" w:line="240" w:before="0" w:after="0"/>
        <w:rPr>
          <w:rFonts w:cs="TimesNewRomanPSMT" w:ascii="TimesNewRomanPSMT" w:hAnsi="TimesNewRomanPSMT"/>
          <w:sz w:val="20"/>
          <w:szCs w:val="20"/>
        </w:rPr>
      </w:pPr>
      <w:r>
        <w:rPr>
          <w:rFonts w:cs="TimesNewRomanPSMT" w:ascii="TimesNewRomanPSMT" w:hAnsi="TimesNewRomanPSMT"/>
          <w:sz w:val="20"/>
          <w:szCs w:val="20"/>
        </w:rPr>
        <w:t>Kuvat: Tykografi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1929765" cy="1289685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78025" cy="1322070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70735" cy="137223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cs="Times-Roman" w:ascii="Times-Roman" w:hAnsi="Times-Roman"/>
          <w:sz w:val="24"/>
          <w:szCs w:val="24"/>
        </w:rPr>
      </w:pPr>
      <w:r>
        <w:rPr>
          <w:rFonts w:cs="Times-Roman" w:ascii="Times-Roman" w:hAnsi="Times-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eastAsia="Arial Unicode MS" w:cs="Arial Unicode MS" w:ascii="Verdana" w:hAnsi="Verdana"/>
          <w:color w:val="000000"/>
          <w:sz w:val="21"/>
          <w:szCs w:val="21"/>
          <w:lang w:eastAsia="fi-FI"/>
        </w:rPr>
      </w:pPr>
      <w:r>
        <w:rPr>
          <w:rFonts w:cs="Times-Roman" w:ascii="Times-Roman" w:hAnsi="Times-Roman"/>
          <w:sz w:val="24"/>
          <w:szCs w:val="24"/>
        </w:rPr>
        <w:t xml:space="preserve">5) Selvitä : </w:t>
      </w:r>
      <w:r>
        <w:rPr>
          <w:rFonts w:eastAsia="Arial Unicode MS" w:cs="Arial Unicode MS" w:ascii="Verdana" w:hAnsi="Verdana"/>
          <w:color w:val="000000"/>
          <w:sz w:val="21"/>
          <w:szCs w:val="21"/>
          <w:lang w:eastAsia="fi-FI"/>
        </w:rPr>
        <w:t>uskontokritiikki: sosiologinen, moraalinen, antropologinen ja psykologinen</w:t>
      </w:r>
    </w:p>
    <w:sectPr>
      <w:type w:val="nextPage"/>
      <w:pgSz w:w="11906" w:h="16838"/>
      <w:pgMar w:left="1134" w:right="1134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roman"/>
    <w:pitch w:val="variable"/>
  </w:font>
  <w:font w:name="TimesNewRomanPSMT">
    <w:charset w:val="00"/>
    <w:family w:val="roman"/>
    <w:pitch w:val="variable"/>
  </w:font>
  <w:font w:name="TimesNewRomanPS-ItalicMT">
    <w:charset w:val="00"/>
    <w:family w:val="roman"/>
    <w:pitch w:val="variable"/>
  </w:font>
  <w:font w:name="Times-Roman">
    <w:altName w:val="Times New Roman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1304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fi-FI" w:eastAsia="en-US" w:bidi="ar-SA"/>
      </w:rPr>
    </w:rPrDefault>
    <w:pPrDefault>
      <w:pPr>
        <w:spacing w:lineRule="auto" w:line="259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3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d7ff4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SimSun" w:cs="Calibri"/>
      <w:color w:val="auto"/>
      <w:sz w:val="22"/>
      <w:szCs w:val="22"/>
      <w:lang w:val="fi-FI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Internetlinkki">
    <w:name w:val="Internet-linkki"/>
    <w:uiPriority w:val="99"/>
    <w:unhideWhenUsed/>
    <w:rsid w:val="00654cb8"/>
    <w:basedOn w:val="DefaultParagraphFont"/>
    <w:rPr>
      <w:color w:val="0563C1"/>
      <w:u w:val="single"/>
      <w:lang w:val="zxx" w:eastAsia="zxx" w:bidi="zxx"/>
    </w:rPr>
  </w:style>
  <w:style w:type="character" w:styleId="FollowedHyperlink">
    <w:name w:val="FollowedHyperlink"/>
    <w:uiPriority w:val="99"/>
    <w:semiHidden/>
    <w:unhideWhenUsed/>
    <w:rsid w:val="00a03e11"/>
    <w:basedOn w:val="DefaultParagraphFont"/>
    <w:rPr>
      <w:color w:val="954F72"/>
      <w:u w:val="single"/>
    </w:rPr>
  </w:style>
  <w:style w:type="character" w:styleId="SelitetekstiChar" w:customStyle="1">
    <w:name w:val="Seliteteksti Char"/>
    <w:uiPriority w:val="99"/>
    <w:semiHidden/>
    <w:link w:val="Seliteteksti"/>
    <w:rsid w:val="002958f3"/>
    <w:basedOn w:val="DefaultParagraphFont"/>
    <w:rPr>
      <w:rFonts w:ascii="Tahoma" w:hAnsi="Tahoma" w:cs="Tahoma"/>
      <w:sz w:val="16"/>
      <w:szCs w:val="16"/>
    </w:rPr>
  </w:style>
  <w:style w:type="character" w:styleId="ListLabel1">
    <w:name w:val="ListLabel 1"/>
    <w:rPr>
      <w:rFonts w:cs=""/>
      <w:sz w:val="22"/>
    </w:rPr>
  </w:style>
  <w:style w:type="paragraph" w:styleId="Otsikko">
    <w:name w:val="Otsikko"/>
    <w:basedOn w:val="Normal"/>
    <w:next w:val="Leipteksti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Leipteksti">
    <w:name w:val="Leipäteksti"/>
    <w:basedOn w:val="Normal"/>
    <w:pPr>
      <w:spacing w:lineRule="auto" w:line="288" w:before="0" w:after="140"/>
    </w:pPr>
    <w:rPr/>
  </w:style>
  <w:style w:type="paragraph" w:styleId="Luettelo">
    <w:name w:val="Luettelo"/>
    <w:basedOn w:val="Leipteksti"/>
    <w:pPr/>
    <w:rPr>
      <w:rFonts w:cs="Mangal"/>
    </w:rPr>
  </w:style>
  <w:style w:type="paragraph" w:styleId="Kuvaotsikko">
    <w:name w:val="Kuvaotsikko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Hakemisto">
    <w:name w:val="Hakemisto"/>
    <w:basedOn w:val="Normal"/>
    <w:pPr>
      <w:suppressLineNumbers/>
    </w:pPr>
    <w:rPr>
      <w:rFonts w:cs="Mangal"/>
    </w:rPr>
  </w:style>
  <w:style w:type="paragraph" w:styleId="ListParagraph">
    <w:name w:val="List Paragraph"/>
    <w:uiPriority w:val="34"/>
    <w:qFormat/>
    <w:rsid w:val="00f42295"/>
    <w:basedOn w:val="Normal"/>
    <w:pPr>
      <w:spacing w:before="0" w:after="160"/>
      <w:ind w:left="720" w:right="0" w:hanging="0"/>
      <w:contextualSpacing/>
    </w:pPr>
    <w:rPr/>
  </w:style>
  <w:style w:type="paragraph" w:styleId="BalloonText">
    <w:name w:val="Balloon Text"/>
    <w:uiPriority w:val="99"/>
    <w:semiHidden/>
    <w:unhideWhenUsed/>
    <w:link w:val="SelitetekstiChar"/>
    <w:rsid w:val="002958f3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Normaalitaulukko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fi.wikibooks.org/wiki/ET5_Todellisuusk&#228;sitykset" TargetMode="External"/><Relationship Id="rId3" Type="http://schemas.openxmlformats.org/officeDocument/2006/relationships/hyperlink" Target="http://fi.wikibooks.org/wiki/ET5_Todellisuusk&#228;sitykset" TargetMode="External"/><Relationship Id="rId4" Type="http://schemas.openxmlformats.org/officeDocument/2006/relationships/hyperlink" Target="http://oppiminen.yle.fi/abitreenit/elamankatsomustieto/maailman-selittaminen-et5" TargetMode="External"/><Relationship Id="rId5" Type="http://schemas.openxmlformats.org/officeDocument/2006/relationships/image" Target="media/image1.wmf"/><Relationship Id="rId6" Type="http://schemas.openxmlformats.org/officeDocument/2006/relationships/image" Target="media/image2.wmf"/><Relationship Id="rId7" Type="http://schemas.openxmlformats.org/officeDocument/2006/relationships/image" Target="media/image3.wmf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2015-05-28T08:47:00Z</dcterms:created>
  <dc:creator>Koivusalo Ilkka</dc:creator>
  <dc:language>fi-FI</dc:language>
  <cp:lastModifiedBy>Ilkka</cp:lastModifiedBy>
  <dcterms:modified xsi:type="dcterms:W3CDTF">2015-06-01T08:04:00Z</dcterms:modified>
  <cp:revision>3</cp:revision>
</cp:coreProperties>
</file>