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B5" w:rsidRDefault="002D00B5" w:rsidP="002D00B5">
      <w:pPr>
        <w:pStyle w:val="NormaaliWWW"/>
        <w:jc w:val="both"/>
      </w:pPr>
      <w:r>
        <w:t xml:space="preserve">A oli ostanut B:ltä 29.9.2010 tehdyllä kauppakirjalla asuinkiinteistön 195 000 euron kauppahintaan. </w:t>
      </w:r>
      <w:proofErr w:type="gramStart"/>
      <w:r>
        <w:t>A on 3.7.2013 nostamassaan kanteessa B:tä vastaan vaatinut, että kauppa puretaan ja B velvoitetaan palauttamaan kauppahinta 195 000 e. Vaatimus on perustunut siihen, että kaupan kohteessa oli ollut kaupantekohetkellä maakaaressa tarkoitettu olennainen laatuvirhe.</w:t>
      </w:r>
      <w:proofErr w:type="gramEnd"/>
      <w:r>
        <w:t xml:space="preserve"> Toissijaisesti A on vaatinut, että B velvoitetaan suorittamaan hänelle kauppahinnan alennuksena 68 659,05 euroa</w:t>
      </w:r>
      <w:r w:rsidR="002274B8">
        <w:t xml:space="preserve"> +oikeudenkäyntikulut</w:t>
      </w:r>
      <w:r>
        <w:t>.</w:t>
      </w:r>
    </w:p>
    <w:p w:rsidR="002D00B5" w:rsidRDefault="002D00B5" w:rsidP="002D00B5">
      <w:pPr>
        <w:pStyle w:val="NormaaliWWW"/>
        <w:jc w:val="both"/>
      </w:pPr>
      <w:r>
        <w:t xml:space="preserve">A oli kaupanteon jälkeen havainnut vakavia kosteusvaurioita kylpyhuoneessa ja WC-tiloissa, jonka seurauksena ne jouduttiin purkamaan perustuksia myöten. </w:t>
      </w:r>
    </w:p>
    <w:p w:rsidR="002D00B5" w:rsidRDefault="002D00B5" w:rsidP="002D00B5">
      <w:pPr>
        <w:pStyle w:val="NormaaliWWW"/>
        <w:jc w:val="both"/>
      </w:pPr>
      <w:r>
        <w:t xml:space="preserve">B kiisti kanteen ja vaati sen hylkäämistä. B esitti kiistämisenperusteluinaan, että A:n väittämät vauriot olivat pinnallisia, eivätkä missään tapauksessa niin olennaisia että se oikeuttaisi kaupan purkuun. Määrällisesti B myönsi kauppahinnan alennuksena 5 000 e hyväntahdon eleenä. </w:t>
      </w:r>
    </w:p>
    <w:p w:rsidR="002D00B5" w:rsidRDefault="002D00B5" w:rsidP="002D00B5">
      <w:pPr>
        <w:pStyle w:val="NormaaliWWW"/>
        <w:jc w:val="both"/>
      </w:pPr>
      <w:r>
        <w:t>Käräjäoikeus järjesti asiassa valmisteluistunnon 15.1.2015. Pääkäsittelyssä 5.3.2015 A muutti toissijaisia vaatimuksiaan siten, että korotti ka</w:t>
      </w:r>
      <w:r w:rsidR="002274B8">
        <w:t>uppahinnan alennuksen määrän 13</w:t>
      </w:r>
      <w:r>
        <w:t>9 000 euroon. A nimesi uutena kirjallisena todisteena diplomi-ins</w:t>
      </w:r>
      <w:r w:rsidR="002274B8">
        <w:t>inööri M:n laatim</w:t>
      </w:r>
      <w:r>
        <w:t>an, 1.3.2015</w:t>
      </w:r>
      <w:r w:rsidR="002274B8">
        <w:t xml:space="preserve"> päivätyn tarkastuskertomuks</w:t>
      </w:r>
      <w:r>
        <w:t xml:space="preserve">en, joka A:n mukaan osoittaa, että keittiön lattiarakenteissa on valmistelun jälkeen niitä purettaessa havaittu myös vakava kosteusvaurio, minkä vuoksi alkuperäinen hinnanalennus oli alimitoitettu. Lisäksi A on ilmoittanut, että valmistelussa todistajaksi nimettyä M:ää kuullaan pääkäsittelyssä kylpyhuoneen virheiden lisäksi myös keittiössä olevasta virheestä. </w:t>
      </w:r>
    </w:p>
    <w:p w:rsidR="002D00B5" w:rsidRDefault="002D00B5" w:rsidP="002D00B5">
      <w:pPr>
        <w:pStyle w:val="NormaaliWWW"/>
        <w:jc w:val="both"/>
      </w:pPr>
      <w:r>
        <w:t>B vastusti A:n uusia vaatimuksia ja todistusteemojen lisäyksiä muun muassa sillä perusteella, että vetoaminen tosiasiassa merkitsisi kanneperusteiden laajentamista ja mahdollisesti uuden vaatimuksen esittämistä.</w:t>
      </w:r>
      <w:r w:rsidRPr="002D00B5">
        <w:t xml:space="preserve"> </w:t>
      </w:r>
      <w:r>
        <w:t xml:space="preserve">Vastaavasti B halusi nimetä uuden todistajan H:n, joka on toiminut kyseiset talon rakennusvalvojana. H:n todistusteemana on se, että talo on rakennettu aivan oikein eikä siinä ole virhettä. </w:t>
      </w:r>
    </w:p>
    <w:p w:rsidR="002D00B5" w:rsidRDefault="002D00B5" w:rsidP="002D00B5">
      <w:pPr>
        <w:pStyle w:val="NormaaliWWW"/>
        <w:jc w:val="both"/>
      </w:pPr>
      <w:r>
        <w:t xml:space="preserve">Käräjäoikeus hylkäsi A:n vaatimusten muuttamiset ja uuden todisteen, koska asia olisi muuttunut toiseksi siitä mitä kanteessa oli vaadittu. Samoin B:n ilmoittamaa uutta todistajaa ei otettu vastaan. Näin ollen käräjäoikeus tuomitsi alkuperäistenvaatimusten mukaisesti 68 000 euroa hinnanalennusta kylpyhuonevaurioista. </w:t>
      </w:r>
    </w:p>
    <w:p w:rsidR="002D00B5" w:rsidRDefault="002D00B5" w:rsidP="002D00B5">
      <w:pPr>
        <w:pStyle w:val="NormaaliWWW"/>
        <w:jc w:val="both"/>
      </w:pPr>
      <w:r>
        <w:t xml:space="preserve">Ota kantaa: </w:t>
      </w:r>
      <w:r w:rsidR="008D636A">
        <w:t>vastaustila 2 sivua</w:t>
      </w:r>
    </w:p>
    <w:p w:rsidR="002D00B5" w:rsidRDefault="002D00B5" w:rsidP="002D00B5">
      <w:pPr>
        <w:pStyle w:val="NormaaliWWW"/>
        <w:numPr>
          <w:ilvl w:val="0"/>
          <w:numId w:val="1"/>
        </w:numPr>
        <w:jc w:val="both"/>
      </w:pPr>
      <w:r>
        <w:t>Ratkaisiko käräjäoikeus lainmukaisesti A:n ja B:n esittämien uusien todisteiden/todistajien vastaanottamisen ja millä perusteella?</w:t>
      </w:r>
    </w:p>
    <w:p w:rsidR="002D00B5" w:rsidRDefault="002D00B5" w:rsidP="002D00B5">
      <w:pPr>
        <w:pStyle w:val="NormaaliWWW"/>
        <w:numPr>
          <w:ilvl w:val="0"/>
          <w:numId w:val="1"/>
        </w:numPr>
        <w:jc w:val="both"/>
      </w:pPr>
      <w:r>
        <w:t xml:space="preserve">Voiko A tehdä ennakkopäätösvalituksen siltä osin, että onko kyseessä kielletty kanteen muuttaminen? </w:t>
      </w:r>
      <w:r w:rsidR="002274B8">
        <w:t>Mitä</w:t>
      </w:r>
      <w:r w:rsidR="008D636A">
        <w:t xml:space="preserve"> valituksessa olisi oltava</w:t>
      </w:r>
      <w:r w:rsidR="002274B8">
        <w:t>?</w:t>
      </w:r>
      <w:r w:rsidR="008D636A">
        <w:tab/>
      </w:r>
      <w:r w:rsidR="008D636A">
        <w:tab/>
      </w:r>
      <w:r w:rsidR="008D636A">
        <w:tab/>
        <w:t xml:space="preserve">                 (20 p)</w:t>
      </w:r>
    </w:p>
    <w:p w:rsidR="00ED6063" w:rsidRDefault="00ED6063" w:rsidP="00ED6063">
      <w:pPr>
        <w:pStyle w:val="NormaaliWWW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00B5" w:rsidRPr="003D3350" w:rsidRDefault="00ED6063" w:rsidP="002D00B5">
      <w:pPr>
        <w:pStyle w:val="NormaaliWWW"/>
        <w:ind w:left="360"/>
        <w:jc w:val="both"/>
        <w:rPr>
          <w:b/>
        </w:rPr>
      </w:pPr>
      <w:r w:rsidRPr="003D3350">
        <w:rPr>
          <w:b/>
        </w:rPr>
        <w:lastRenderedPageBreak/>
        <w:t>VASTAUS</w:t>
      </w:r>
    </w:p>
    <w:p w:rsidR="00ED6063" w:rsidRDefault="00ED6063" w:rsidP="002D00B5">
      <w:pPr>
        <w:pStyle w:val="NormaaliWWW"/>
        <w:ind w:left="360"/>
        <w:jc w:val="both"/>
      </w:pPr>
    </w:p>
    <w:p w:rsidR="003D3350" w:rsidRDefault="003D3350" w:rsidP="003D3350">
      <w:pPr>
        <w:pStyle w:val="NormaaliWWW"/>
        <w:ind w:left="360"/>
        <w:jc w:val="both"/>
        <w:rPr>
          <w:sz w:val="22"/>
        </w:rPr>
      </w:pPr>
      <w:r>
        <w:rPr>
          <w:sz w:val="22"/>
        </w:rPr>
        <w:t xml:space="preserve">Prosessioikeus sisältää oikeudenkäyntiin liittyvät oikeusnormit ja sen keskeinen laki on oikeudenkäymiskaari OK. </w:t>
      </w:r>
      <w:r w:rsidR="008D636A">
        <w:rPr>
          <w:sz w:val="22"/>
        </w:rPr>
        <w:t xml:space="preserve"> (0,5)</w:t>
      </w:r>
    </w:p>
    <w:p w:rsidR="003D3350" w:rsidRDefault="00ED6063" w:rsidP="003D3350">
      <w:pPr>
        <w:pStyle w:val="NormaaliWWW"/>
        <w:ind w:left="360"/>
        <w:jc w:val="both"/>
      </w:pPr>
      <w:r w:rsidRPr="003D3350">
        <w:rPr>
          <w:b/>
        </w:rPr>
        <w:t>Vaatimistaakan</w:t>
      </w:r>
      <w:r w:rsidRPr="003D3350">
        <w:t xml:space="preserve"> mukaan asianosaisen hyväksi ei voida tuomita muuta oikeusseuraamusta tai määrällisesti enempää kuin mitä hän on vaatinut. TI on sidottu asianosaisen vaatiman tai vastapuolen myöntämän oikeusseuraamuksen laatuun ja enimmäismäärään. </w:t>
      </w:r>
      <w:r w:rsidR="008D636A">
        <w:t>(0,5 p )</w:t>
      </w:r>
    </w:p>
    <w:p w:rsidR="008D636A" w:rsidRDefault="00ED6063" w:rsidP="003D3350">
      <w:pPr>
        <w:pStyle w:val="NormaaliWWW"/>
        <w:ind w:left="360"/>
        <w:jc w:val="both"/>
      </w:pPr>
      <w:r w:rsidRPr="003D3350">
        <w:rPr>
          <w:b/>
        </w:rPr>
        <w:t>Väittämis- eli vetoamistaakka</w:t>
      </w:r>
      <w:r w:rsidRPr="003D3350">
        <w:t xml:space="preserve"> tarkoittaa, että asianosaisen on vedottava </w:t>
      </w:r>
      <w:proofErr w:type="spellStart"/>
      <w:r w:rsidRPr="003D3350">
        <w:t>oikeustosiseikkaan</w:t>
      </w:r>
      <w:proofErr w:type="spellEnd"/>
      <w:r w:rsidRPr="003D3350">
        <w:t xml:space="preserve"> jotta TI voi käyttää </w:t>
      </w:r>
      <w:proofErr w:type="spellStart"/>
      <w:r w:rsidRPr="003D3350">
        <w:t>oikeustosiseikkaa</w:t>
      </w:r>
      <w:proofErr w:type="spellEnd"/>
      <w:r w:rsidRPr="003D3350">
        <w:t xml:space="preserve"> tuomionsa perusteena. TI ei saa perustaa tuomiota seikkaan johon asianosainen ei ole vaatimuksensa tai vastustamisensa perusteeksi vedonnut</w:t>
      </w:r>
      <w:r w:rsidR="008D636A">
        <w:t xml:space="preserve">  </w:t>
      </w:r>
    </w:p>
    <w:p w:rsidR="00ED6063" w:rsidRPr="003D3350" w:rsidRDefault="008D636A" w:rsidP="003D3350">
      <w:pPr>
        <w:pStyle w:val="NormaaliWWW"/>
        <w:ind w:left="360"/>
        <w:jc w:val="both"/>
      </w:pPr>
      <w:r>
        <w:t>(0,5p)</w:t>
      </w:r>
    </w:p>
    <w:p w:rsidR="00ED6063" w:rsidRDefault="003D3350" w:rsidP="003D3350">
      <w:pPr>
        <w:pStyle w:val="NormaaliWWW"/>
        <w:ind w:left="1304" w:firstLine="1"/>
        <w:jc w:val="both"/>
      </w:pPr>
      <w:r>
        <w:t xml:space="preserve">Näin ollen A:n on esitettävä vaatimus suuremmasta hinnanalennuksesta sekä esitettävä ne </w:t>
      </w:r>
      <w:proofErr w:type="spellStart"/>
      <w:r>
        <w:t>oikeustosiseikat</w:t>
      </w:r>
      <w:proofErr w:type="spellEnd"/>
      <w:r>
        <w:t xml:space="preserve"> joihin vaatimus perustuu, jota tuomioistuin voisi otata ne huomioon tuomiossa ja tuomion perusteluissa. </w:t>
      </w:r>
      <w:r w:rsidR="008D636A">
        <w:t>(0,5 p)</w:t>
      </w:r>
    </w:p>
    <w:p w:rsidR="003D3350" w:rsidRDefault="003D3350" w:rsidP="003D3350">
      <w:pPr>
        <w:pStyle w:val="NormaaliWWW"/>
        <w:ind w:left="1304" w:firstLine="1"/>
        <w:jc w:val="both"/>
      </w:pPr>
      <w:r>
        <w:t xml:space="preserve">Joka tapauksessa käräjäoikeus on </w:t>
      </w:r>
      <w:proofErr w:type="spellStart"/>
      <w:r>
        <w:t>sidotu</w:t>
      </w:r>
      <w:proofErr w:type="spellEnd"/>
      <w:r>
        <w:t xml:space="preserve"> </w:t>
      </w:r>
      <w:proofErr w:type="spellStart"/>
      <w:r>
        <w:t>B.n</w:t>
      </w:r>
      <w:proofErr w:type="spellEnd"/>
      <w:r>
        <w:t xml:space="preserve"> myöntämään määrään, 5 000 e, joka on tuomittava vähimmillään hinnanalennuksena A:lle </w:t>
      </w:r>
      <w:r w:rsidR="008D636A">
        <w:tab/>
        <w:t>(0,5 p )</w:t>
      </w:r>
    </w:p>
    <w:p w:rsidR="003D3350" w:rsidRDefault="003D3350" w:rsidP="003D3350">
      <w:pPr>
        <w:pStyle w:val="NormaaliWWW"/>
        <w:jc w:val="both"/>
      </w:pPr>
    </w:p>
    <w:p w:rsidR="00ED6063" w:rsidRDefault="00ED6063" w:rsidP="003D3350">
      <w:pPr>
        <w:pStyle w:val="NormaaliWWW"/>
        <w:jc w:val="both"/>
      </w:pPr>
      <w:proofErr w:type="spellStart"/>
      <w:r w:rsidRPr="003D3350">
        <w:rPr>
          <w:b/>
        </w:rPr>
        <w:t>Prekluusio</w:t>
      </w:r>
      <w:proofErr w:type="spellEnd"/>
      <w:r w:rsidRPr="003D3350">
        <w:t xml:space="preserve"> tarkoittaa, että asianosainen menettää oikeutensa tuoda esiin uusia </w:t>
      </w:r>
      <w:proofErr w:type="spellStart"/>
      <w:r w:rsidRPr="003D3350">
        <w:t>oikeustosiseikkoja</w:t>
      </w:r>
      <w:proofErr w:type="spellEnd"/>
      <w:r w:rsidRPr="003D3350">
        <w:t xml:space="preserve"> tai uusia todisteita prosessin tietyn vaiheen jälkeen</w:t>
      </w:r>
      <w:r w:rsidR="003D3350" w:rsidRPr="003D3350">
        <w:t>.</w:t>
      </w:r>
      <w:r w:rsidR="003D3350">
        <w:t xml:space="preserve"> </w:t>
      </w:r>
      <w:r w:rsidR="008D636A">
        <w:t xml:space="preserve">(1 p) </w:t>
      </w:r>
      <w:proofErr w:type="spellStart"/>
      <w:r w:rsidR="008D636A">
        <w:t>Prekluusio</w:t>
      </w:r>
      <w:proofErr w:type="spellEnd"/>
      <w:r w:rsidR="008D636A">
        <w:t xml:space="preserve"> ei koske </w:t>
      </w:r>
      <w:proofErr w:type="spellStart"/>
      <w:r w:rsidR="008D636A">
        <w:t>todistustosiseikkoja</w:t>
      </w:r>
      <w:proofErr w:type="spellEnd"/>
      <w:r w:rsidR="008D636A">
        <w:t xml:space="preserve"> (0,5 p)</w:t>
      </w:r>
    </w:p>
    <w:p w:rsidR="003D3350" w:rsidRPr="003D3350" w:rsidRDefault="003D3350" w:rsidP="003D3350">
      <w:pPr>
        <w:pStyle w:val="NormaaliWWW"/>
        <w:jc w:val="both"/>
      </w:pPr>
      <w:r>
        <w:t>Valmistelussa asianosaisen on viipymättä esitettävä vaatimuksensa ja niiden perusteet sekä lausuttava siitä mitä vastapuoli on esittänyt. Valmistelussa on ilmoite</w:t>
      </w:r>
      <w:r w:rsidR="008D636A">
        <w:t>t</w:t>
      </w:r>
      <w:r>
        <w:t xml:space="preserve">tava kaikki todisteet jotka aikoo esittää sekä niiden todistusteemat. </w:t>
      </w:r>
      <w:r w:rsidR="008D636A">
        <w:t>(0,5 p)</w:t>
      </w:r>
    </w:p>
    <w:p w:rsidR="002D00B5" w:rsidRDefault="003D3350" w:rsidP="008D636A">
      <w:pPr>
        <w:pStyle w:val="NormaaliWWW"/>
        <w:ind w:left="1276"/>
        <w:jc w:val="both"/>
      </w:pPr>
      <w:r>
        <w:t xml:space="preserve">Näin ollen </w:t>
      </w:r>
      <w:r w:rsidR="008D636A">
        <w:t xml:space="preserve">pääsäännön mukaan </w:t>
      </w:r>
      <w:r w:rsidR="00D02AC6">
        <w:t xml:space="preserve">B:n </w:t>
      </w:r>
      <w:r>
        <w:t>olisi tullut ilmoittaa jo valmistelussa kaikki todisteet</w:t>
      </w:r>
      <w:r w:rsidR="00D02AC6">
        <w:t xml:space="preserve"> </w:t>
      </w:r>
      <w:r>
        <w:t xml:space="preserve">sekä niille todistusteemat. Uusien todisteiden tai todistajiennimeäminen ei ole enää pääkäsittelyssä pääsäännön mukaan mahdollista. Kyse on </w:t>
      </w:r>
      <w:proofErr w:type="spellStart"/>
      <w:r>
        <w:t>prekluusiosta</w:t>
      </w:r>
      <w:proofErr w:type="spellEnd"/>
      <w:r>
        <w:t xml:space="preserve">. </w:t>
      </w:r>
      <w:r>
        <w:tab/>
      </w:r>
      <w:r w:rsidR="008D636A">
        <w:t>(1 p)</w:t>
      </w:r>
    </w:p>
    <w:p w:rsidR="003D3350" w:rsidRDefault="00D02AC6" w:rsidP="00D02AC6">
      <w:pPr>
        <w:pStyle w:val="NormaaliWWW"/>
        <w:ind w:left="1276" w:firstLine="29"/>
        <w:jc w:val="both"/>
      </w:pPr>
      <w:r>
        <w:t xml:space="preserve">A:lla sen sijaan on mahdollisuus esittää uusia vaatimuksia perusteineen alla tarkemmin kuvatussa poikkeustilanteessa.  </w:t>
      </w:r>
    </w:p>
    <w:p w:rsidR="00D02AC6" w:rsidRPr="00D02AC6" w:rsidRDefault="00D02AC6" w:rsidP="00D02AC6">
      <w:pPr>
        <w:pStyle w:val="NormaaliWWW"/>
        <w:ind w:left="1276" w:firstLine="29"/>
        <w:jc w:val="both"/>
        <w:rPr>
          <w:b/>
        </w:rPr>
      </w:pPr>
    </w:p>
    <w:p w:rsidR="00ED6063" w:rsidRPr="003D3350" w:rsidRDefault="00ED6063" w:rsidP="003D33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2AC6">
        <w:rPr>
          <w:rFonts w:ascii="Times New Roman" w:hAnsi="Times New Roman" w:cs="Times New Roman"/>
          <w:b/>
          <w:sz w:val="24"/>
        </w:rPr>
        <w:t>Kanteenmuutoskielto</w:t>
      </w:r>
      <w:r w:rsidRPr="003D3350">
        <w:rPr>
          <w:rFonts w:ascii="Times New Roman" w:hAnsi="Times New Roman" w:cs="Times New Roman"/>
          <w:sz w:val="24"/>
        </w:rPr>
        <w:t xml:space="preserve"> tarkoittaa, ettei kannetta saa </w:t>
      </w:r>
      <w:r w:rsidR="003D3350">
        <w:rPr>
          <w:rFonts w:ascii="Times New Roman" w:hAnsi="Times New Roman" w:cs="Times New Roman"/>
          <w:sz w:val="24"/>
        </w:rPr>
        <w:t xml:space="preserve">pääsäännön mukaan </w:t>
      </w:r>
      <w:r w:rsidRPr="003D3350">
        <w:rPr>
          <w:rFonts w:ascii="Times New Roman" w:hAnsi="Times New Roman" w:cs="Times New Roman"/>
          <w:sz w:val="24"/>
        </w:rPr>
        <w:t xml:space="preserve">oikeudenkäynnin aikana muuttaa siitä, millaisena se on haastehakemuksessa esitetty. </w:t>
      </w:r>
      <w:r w:rsidR="008D636A">
        <w:rPr>
          <w:rFonts w:ascii="Times New Roman" w:hAnsi="Times New Roman" w:cs="Times New Roman"/>
          <w:sz w:val="24"/>
        </w:rPr>
        <w:t>(1 p)</w:t>
      </w:r>
    </w:p>
    <w:p w:rsidR="00ED6063" w:rsidRPr="003D3350" w:rsidRDefault="00ED6063" w:rsidP="003D33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D3350">
        <w:rPr>
          <w:rFonts w:ascii="Times New Roman" w:hAnsi="Times New Roman" w:cs="Times New Roman"/>
          <w:sz w:val="24"/>
        </w:rPr>
        <w:lastRenderedPageBreak/>
        <w:t>Kielto koskee niin kannevaatimusta (</w:t>
      </w:r>
      <w:proofErr w:type="spellStart"/>
      <w:r w:rsidRPr="003D3350">
        <w:rPr>
          <w:rFonts w:ascii="Times New Roman" w:hAnsi="Times New Roman" w:cs="Times New Roman"/>
          <w:sz w:val="24"/>
        </w:rPr>
        <w:t>petitum</w:t>
      </w:r>
      <w:proofErr w:type="spellEnd"/>
      <w:r w:rsidRPr="003D3350">
        <w:rPr>
          <w:rFonts w:ascii="Times New Roman" w:hAnsi="Times New Roman" w:cs="Times New Roman"/>
          <w:sz w:val="24"/>
        </w:rPr>
        <w:t>) kuin kanne</w:t>
      </w:r>
      <w:r w:rsidR="003D3350">
        <w:rPr>
          <w:rFonts w:ascii="Times New Roman" w:hAnsi="Times New Roman" w:cs="Times New Roman"/>
          <w:sz w:val="24"/>
        </w:rPr>
        <w:t>perustetta</w:t>
      </w:r>
      <w:r w:rsidRPr="003D3350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3D3350">
        <w:rPr>
          <w:rFonts w:ascii="Times New Roman" w:hAnsi="Times New Roman" w:cs="Times New Roman"/>
          <w:sz w:val="24"/>
        </w:rPr>
        <w:t>causa</w:t>
      </w:r>
      <w:proofErr w:type="spellEnd"/>
      <w:r w:rsidRPr="003D3350">
        <w:rPr>
          <w:rFonts w:ascii="Times New Roman" w:hAnsi="Times New Roman" w:cs="Times New Roman"/>
          <w:sz w:val="24"/>
        </w:rPr>
        <w:t xml:space="preserve">). Kannevaatimus tarkoittaa vaadittua oikeusseuraamusta ja kanneperuste vaatimusten perusteena olevia seikkoja. </w:t>
      </w:r>
      <w:r w:rsidR="008D636A">
        <w:rPr>
          <w:rFonts w:ascii="Times New Roman" w:hAnsi="Times New Roman" w:cs="Times New Roman"/>
          <w:sz w:val="24"/>
        </w:rPr>
        <w:t>(0,5 p)</w:t>
      </w:r>
    </w:p>
    <w:p w:rsidR="00ED6063" w:rsidRDefault="00ED6063" w:rsidP="00ED6063">
      <w:pPr>
        <w:pStyle w:val="Luettelokappale"/>
        <w:spacing w:line="360" w:lineRule="auto"/>
        <w:ind w:left="1276"/>
        <w:jc w:val="both"/>
        <w:rPr>
          <w:rFonts w:ascii="Times New Roman" w:hAnsi="Times New Roman" w:cs="Times New Roman"/>
          <w:sz w:val="24"/>
        </w:rPr>
      </w:pPr>
    </w:p>
    <w:p w:rsidR="00ED6063" w:rsidRDefault="003D3350" w:rsidP="00ED6063">
      <w:pPr>
        <w:pStyle w:val="Luettelokappale"/>
        <w:spacing w:line="360" w:lineRule="auto"/>
        <w:ind w:left="12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Näin ollen A ei saa esittää uusia vaatimuksia pääkäsittelyssä mutta tästä on säädetty poikkeuksia: </w:t>
      </w:r>
    </w:p>
    <w:p w:rsidR="00ED6063" w:rsidRDefault="00ED6063" w:rsidP="00ED6063">
      <w:pPr>
        <w:pStyle w:val="Luettelokappale"/>
        <w:spacing w:line="360" w:lineRule="auto"/>
        <w:ind w:left="1276"/>
        <w:jc w:val="both"/>
        <w:rPr>
          <w:rFonts w:ascii="Times New Roman" w:hAnsi="Times New Roman" w:cs="Times New Roman"/>
        </w:rPr>
      </w:pPr>
    </w:p>
    <w:p w:rsidR="003D3350" w:rsidRDefault="003D3350" w:rsidP="003D33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Ensinnäkin k</w:t>
      </w:r>
      <w:r w:rsidR="00ED6063">
        <w:rPr>
          <w:rFonts w:ascii="Times New Roman" w:hAnsi="Times New Roman" w:cs="Times New Roman"/>
        </w:rPr>
        <w:t xml:space="preserve">anteenmuutoskielto ei estä kanteessa esitettyjen vaatimusten supistamista. </w:t>
      </w:r>
      <w:r w:rsidR="008D636A">
        <w:rPr>
          <w:rFonts w:ascii="Times New Roman" w:hAnsi="Times New Roman" w:cs="Times New Roman"/>
        </w:rPr>
        <w:t>(0,5 p)</w:t>
      </w:r>
    </w:p>
    <w:p w:rsidR="00ED6063" w:rsidRDefault="003D3350" w:rsidP="003D33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ED6063">
        <w:rPr>
          <w:rFonts w:ascii="Times New Roman" w:hAnsi="Times New Roman" w:cs="Times New Roman"/>
        </w:rPr>
        <w:t>antajalla on oikeus vaatia muutakin suoritustakuin kanteessa tarkoitettua, jos vaatimus perustuu oikeudenkäynnin aikana tapahtuneeseen olosuhdemuutokseen tai oikeudenkäynnin aikana tietoon tulleeseen seikkaan (välisattumus), jos sitä ei voinut aiemmin esittää</w:t>
      </w:r>
      <w:r>
        <w:rPr>
          <w:rFonts w:ascii="Times New Roman" w:hAnsi="Times New Roman" w:cs="Times New Roman"/>
        </w:rPr>
        <w:t xml:space="preserve">. </w:t>
      </w:r>
      <w:r w:rsidR="008D636A">
        <w:rPr>
          <w:rFonts w:ascii="Times New Roman" w:hAnsi="Times New Roman" w:cs="Times New Roman"/>
        </w:rPr>
        <w:t xml:space="preserve">(1 p) </w:t>
      </w:r>
      <w:r>
        <w:rPr>
          <w:rFonts w:ascii="Times New Roman" w:hAnsi="Times New Roman" w:cs="Times New Roman"/>
        </w:rPr>
        <w:t>Lisäksi kantajalla</w:t>
      </w:r>
      <w:r w:rsidR="00ED6063">
        <w:rPr>
          <w:rFonts w:ascii="Times New Roman" w:hAnsi="Times New Roman" w:cs="Times New Roman"/>
        </w:rPr>
        <w:t xml:space="preserve"> on oikeus vaatia vahvistettavaksi sellainen oikeussuhde joka asianosaisten välisessä oikeudenkäynnissä on riitainen ja jonka selvittämistä asian muun osan ratkaiseminen edellyttää (ennakkoluonteinen kysymys eli esikysymys). Lisävaatimuksia saa </w:t>
      </w:r>
      <w:r>
        <w:rPr>
          <w:rFonts w:ascii="Times New Roman" w:hAnsi="Times New Roman" w:cs="Times New Roman"/>
        </w:rPr>
        <w:t xml:space="preserve">myös </w:t>
      </w:r>
      <w:r w:rsidR="00ED6063">
        <w:rPr>
          <w:rFonts w:ascii="Times New Roman" w:hAnsi="Times New Roman" w:cs="Times New Roman"/>
        </w:rPr>
        <w:t>esittää, eli oikeus vaatia korkoa tai tehdä muita sivuvaatimuksia (liitännäisvaatimuksia)</w:t>
      </w:r>
      <w:r w:rsidR="008D636A">
        <w:rPr>
          <w:rFonts w:ascii="Times New Roman" w:hAnsi="Times New Roman" w:cs="Times New Roman"/>
        </w:rPr>
        <w:t xml:space="preserve"> (1 p)</w:t>
      </w:r>
    </w:p>
    <w:p w:rsidR="003D3350" w:rsidRDefault="003D3350" w:rsidP="003D3350">
      <w:pPr>
        <w:spacing w:line="360" w:lineRule="auto"/>
        <w:ind w:left="2608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Näin ollen A:lla on oikeus esittää korotettuja, suurempia vaatimuksia, koska vaatimus perustui oikeudenkäynnin aikana tapahtuneeseen olosuhdemuutokseen ja oikeudenkäynnin aikana tietoon tulleeseen seikkaan (välisattumus), ja koska A ei voinut sitä sen vuoksi esittää aiemmin valmistelussa. Käräjäoikeuden olisi tullut ottaa vastaan A:n uusi todiste ja sallia A:n suurempi hinnanalennusvaatimus</w:t>
      </w:r>
      <w:r w:rsidR="008D636A">
        <w:rPr>
          <w:rFonts w:ascii="Times New Roman" w:hAnsi="Times New Roman" w:cs="Times New Roman"/>
        </w:rPr>
        <w:tab/>
        <w:t>(1 p)</w:t>
      </w:r>
    </w:p>
    <w:p w:rsidR="003D3350" w:rsidRDefault="003D3350" w:rsidP="00ED6063">
      <w:pPr>
        <w:spacing w:line="360" w:lineRule="auto"/>
        <w:jc w:val="both"/>
        <w:rPr>
          <w:rFonts w:ascii="Times New Roman" w:hAnsi="Times New Roman" w:cs="Times New Roman"/>
        </w:rPr>
      </w:pPr>
    </w:p>
    <w:p w:rsidR="00ED6063" w:rsidRDefault="00ED6063" w:rsidP="003D33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Kanne</w:t>
      </w:r>
      <w:r w:rsidRPr="00F94F9B">
        <w:rPr>
          <w:rFonts w:ascii="Times New Roman" w:hAnsi="Times New Roman" w:cs="Times New Roman"/>
          <w:b/>
        </w:rPr>
        <w:t>perusteen</w:t>
      </w:r>
      <w:r>
        <w:rPr>
          <w:rFonts w:ascii="Times New Roman" w:hAnsi="Times New Roman" w:cs="Times New Roman"/>
        </w:rPr>
        <w:t xml:space="preserve"> muuttaminen on mahdollista, jos vaadittu oikeusseuraamus pysyy ennallaan. </w:t>
      </w:r>
      <w:r w:rsidR="008D636A">
        <w:rPr>
          <w:rFonts w:ascii="Times New Roman" w:hAnsi="Times New Roman" w:cs="Times New Roman"/>
        </w:rPr>
        <w:t xml:space="preserve">(1 p) </w:t>
      </w:r>
      <w:r>
        <w:rPr>
          <w:rFonts w:ascii="Times New Roman" w:hAnsi="Times New Roman" w:cs="Times New Roman"/>
        </w:rPr>
        <w:t xml:space="preserve">Kyse on epävarsinaisesta kanteenmuutoksesta. Tämä on sallittua silloin, kun asia ei uusien </w:t>
      </w:r>
      <w:proofErr w:type="spellStart"/>
      <w:r>
        <w:rPr>
          <w:rFonts w:ascii="Times New Roman" w:hAnsi="Times New Roman" w:cs="Times New Roman"/>
        </w:rPr>
        <w:t>oikeustosiseikkojen</w:t>
      </w:r>
      <w:proofErr w:type="spellEnd"/>
      <w:r>
        <w:rPr>
          <w:rFonts w:ascii="Times New Roman" w:hAnsi="Times New Roman" w:cs="Times New Roman"/>
        </w:rPr>
        <w:t xml:space="preserve"> johdosta muutu toiseksi. </w:t>
      </w:r>
      <w:r w:rsidR="008D636A">
        <w:rPr>
          <w:rFonts w:ascii="Times New Roman" w:hAnsi="Times New Roman" w:cs="Times New Roman"/>
        </w:rPr>
        <w:t>(1 p)</w:t>
      </w:r>
    </w:p>
    <w:p w:rsidR="003D3350" w:rsidRDefault="003D3350" w:rsidP="003D3350">
      <w:pPr>
        <w:spacing w:line="360" w:lineRule="auto"/>
        <w:ind w:left="2608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A:n olisi ollut mahdollista esittää uusi kanneperuste eli väite siitä että kosteusvaurio oli alkuperäistä väitettä laajempi ja vakavampi, koska vaadittu oikeusseuraamus pysyy ennallaan eikä asia uusien </w:t>
      </w:r>
      <w:proofErr w:type="spellStart"/>
      <w:r>
        <w:rPr>
          <w:rFonts w:ascii="Times New Roman" w:hAnsi="Times New Roman" w:cs="Times New Roman"/>
        </w:rPr>
        <w:t>oikeustosiseikkojen</w:t>
      </w:r>
      <w:proofErr w:type="spellEnd"/>
      <w:r>
        <w:rPr>
          <w:rFonts w:ascii="Times New Roman" w:hAnsi="Times New Roman" w:cs="Times New Roman"/>
        </w:rPr>
        <w:t xml:space="preserve"> ja väitteiden johdosta ole muuttunut toiseksi. </w:t>
      </w:r>
      <w:r w:rsidR="008D636A">
        <w:rPr>
          <w:rFonts w:ascii="Times New Roman" w:hAnsi="Times New Roman" w:cs="Times New Roman"/>
        </w:rPr>
        <w:t>(huomioidaan yhtensä yksi piste johtopäätöksistä)</w:t>
      </w:r>
    </w:p>
    <w:p w:rsidR="00ED6063" w:rsidRDefault="00ED6063" w:rsidP="00ED6063">
      <w:pPr>
        <w:spacing w:line="360" w:lineRule="auto"/>
        <w:ind w:left="1304"/>
        <w:jc w:val="both"/>
        <w:rPr>
          <w:rFonts w:ascii="Times New Roman" w:hAnsi="Times New Roman" w:cs="Times New Roman"/>
        </w:rPr>
      </w:pPr>
    </w:p>
    <w:p w:rsidR="002D00B5" w:rsidRDefault="003D3350" w:rsidP="003D3350">
      <w:pPr>
        <w:pStyle w:val="NormaaliWWW"/>
        <w:ind w:left="2608" w:firstLine="2"/>
        <w:jc w:val="both"/>
      </w:pPr>
      <w:r>
        <w:lastRenderedPageBreak/>
        <w:t xml:space="preserve">Näin ollen käräjäoikeus on tulkinnut lakia väärin ja tehnyt virheellisen ratkaisun. A:lla on mahdollisuus valittaa asiasta hovioikeuteen tai ennakkopäätösvalituksella suoraan </w:t>
      </w:r>
      <w:proofErr w:type="spellStart"/>
      <w:r>
        <w:t>KKO:een</w:t>
      </w:r>
      <w:proofErr w:type="spellEnd"/>
      <w:r>
        <w:t>.</w:t>
      </w:r>
      <w:r w:rsidR="008D636A">
        <w:t xml:space="preserve"> (0,5 p)</w:t>
      </w:r>
    </w:p>
    <w:p w:rsidR="00ED6063" w:rsidRDefault="00ED6063" w:rsidP="002D00B5">
      <w:pPr>
        <w:pStyle w:val="NormaaliWWW"/>
        <w:jc w:val="both"/>
      </w:pPr>
    </w:p>
    <w:p w:rsidR="00933220" w:rsidRDefault="00933220" w:rsidP="00933220">
      <w:pPr>
        <w:pStyle w:val="NormaaliWWW"/>
        <w:jc w:val="both"/>
      </w:pPr>
      <w:r>
        <w:t xml:space="preserve">Muita vastauksessa pohdittavia asioita: </w:t>
      </w:r>
    </w:p>
    <w:p w:rsidR="00933220" w:rsidRDefault="00933220" w:rsidP="00933220">
      <w:pPr>
        <w:pStyle w:val="NormaaliWWW"/>
        <w:numPr>
          <w:ilvl w:val="0"/>
          <w:numId w:val="4"/>
        </w:numPr>
        <w:jc w:val="both"/>
      </w:pPr>
      <w:r>
        <w:t>tuomioistuimen oikeus evätä turha / tarpeeton todistelu (0,5 p)</w:t>
      </w:r>
    </w:p>
    <w:p w:rsidR="00933220" w:rsidRDefault="00933220" w:rsidP="00933220">
      <w:pPr>
        <w:pStyle w:val="NormaaliWWW"/>
        <w:numPr>
          <w:ilvl w:val="0"/>
          <w:numId w:val="4"/>
        </w:numPr>
        <w:jc w:val="both"/>
      </w:pPr>
      <w:r>
        <w:t>MÄÄRÄÄMISPERIAATE (0,5 p)</w:t>
      </w:r>
    </w:p>
    <w:p w:rsidR="00933220" w:rsidRDefault="00933220" w:rsidP="00933220">
      <w:pPr>
        <w:pStyle w:val="NormaaliWWW"/>
        <w:numPr>
          <w:ilvl w:val="0"/>
          <w:numId w:val="4"/>
        </w:numPr>
        <w:jc w:val="both"/>
      </w:pPr>
      <w:r>
        <w:t>B:n myöntämä määrä (5.000 e) sitoo tuomioistuinta (0,5 p)</w:t>
      </w:r>
    </w:p>
    <w:p w:rsidR="00933220" w:rsidRDefault="00933220" w:rsidP="002D00B5">
      <w:pPr>
        <w:pStyle w:val="NormaaliWWW"/>
        <w:jc w:val="both"/>
      </w:pPr>
      <w:r>
        <w:t>__________________________________________________________________________</w:t>
      </w:r>
    </w:p>
    <w:p w:rsidR="00933220" w:rsidRDefault="00933220" w:rsidP="002D00B5">
      <w:pPr>
        <w:pStyle w:val="NormaaliWWW"/>
        <w:jc w:val="both"/>
      </w:pPr>
    </w:p>
    <w:p w:rsidR="00ED6063" w:rsidRDefault="00ED6063" w:rsidP="00ED6063">
      <w:pPr>
        <w:spacing w:line="360" w:lineRule="auto"/>
        <w:rPr>
          <w:rFonts w:ascii="Times New Roman" w:hAnsi="Times New Roman" w:cs="Times New Roman"/>
        </w:rPr>
      </w:pPr>
      <w:r w:rsidRPr="006C2FC8">
        <w:rPr>
          <w:rFonts w:ascii="Times New Roman" w:hAnsi="Times New Roman" w:cs="Times New Roman"/>
          <w:b/>
        </w:rPr>
        <w:t>Ennakkopäätösvalitus</w:t>
      </w:r>
      <w:r>
        <w:rPr>
          <w:rFonts w:ascii="Times New Roman" w:hAnsi="Times New Roman" w:cs="Times New Roman"/>
        </w:rPr>
        <w:t xml:space="preserve"> tarkoittaa että </w:t>
      </w:r>
      <w:proofErr w:type="spellStart"/>
      <w:r>
        <w:rPr>
          <w:rFonts w:ascii="Times New Roman" w:hAnsi="Times New Roman" w:cs="Times New Roman"/>
        </w:rPr>
        <w:t>KäO:n</w:t>
      </w:r>
      <w:proofErr w:type="spellEnd"/>
      <w:r>
        <w:rPr>
          <w:rFonts w:ascii="Times New Roman" w:hAnsi="Times New Roman" w:cs="Times New Roman"/>
        </w:rPr>
        <w:t xml:space="preserve"> ratkaisuun saadaan hovioikeuden asemasta hakea muutosta suoraan </w:t>
      </w:r>
      <w:proofErr w:type="spellStart"/>
      <w:r>
        <w:rPr>
          <w:rFonts w:ascii="Times New Roman" w:hAnsi="Times New Roman" w:cs="Times New Roman"/>
        </w:rPr>
        <w:t>KKO:lta</w:t>
      </w:r>
      <w:proofErr w:type="spellEnd"/>
      <w:r>
        <w:rPr>
          <w:rFonts w:ascii="Times New Roman" w:hAnsi="Times New Roman" w:cs="Times New Roman"/>
        </w:rPr>
        <w:t xml:space="preserve"> ennakkopäätösvalituksella, jos KKO myöntää valitusluvan. </w:t>
      </w:r>
      <w:r w:rsidR="003D3350">
        <w:rPr>
          <w:rFonts w:ascii="Times New Roman" w:hAnsi="Times New Roman" w:cs="Times New Roman"/>
        </w:rPr>
        <w:t>Se e</w:t>
      </w:r>
      <w:r>
        <w:rPr>
          <w:rFonts w:ascii="Times New Roman" w:hAnsi="Times New Roman" w:cs="Times New Roman"/>
        </w:rPr>
        <w:t>dellyttää muutoksenhakijan vastapuolen</w:t>
      </w:r>
      <w:r w:rsidR="003D3350">
        <w:rPr>
          <w:rFonts w:ascii="Times New Roman" w:hAnsi="Times New Roman" w:cs="Times New Roman"/>
        </w:rPr>
        <w:t>, tässä tapauksessa B:n,</w:t>
      </w:r>
      <w:r>
        <w:rPr>
          <w:rFonts w:ascii="Times New Roman" w:hAnsi="Times New Roman" w:cs="Times New Roman"/>
        </w:rPr>
        <w:t xml:space="preserve"> suostumusta. </w:t>
      </w:r>
      <w:r w:rsidR="008D636A">
        <w:rPr>
          <w:rFonts w:ascii="Times New Roman" w:hAnsi="Times New Roman" w:cs="Times New Roman"/>
        </w:rPr>
        <w:t xml:space="preserve"> (1 p)</w:t>
      </w:r>
    </w:p>
    <w:p w:rsidR="00ED6063" w:rsidRDefault="00ED6063" w:rsidP="00ED606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KKO myöntää luvan ennakkopäätösvalitukseen vain jos lain soveltamisen kannalta muissa samanlaisissa tapauksissa tai oikeuskäytännön yhtenäisyyden vuoksi </w:t>
      </w:r>
      <w:r w:rsidR="008D636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n tärkeää saattaa asia </w:t>
      </w:r>
      <w:proofErr w:type="spellStart"/>
      <w:r>
        <w:rPr>
          <w:rFonts w:ascii="Times New Roman" w:hAnsi="Times New Roman" w:cs="Times New Roman"/>
        </w:rPr>
        <w:t>KKO:n</w:t>
      </w:r>
      <w:proofErr w:type="spellEnd"/>
      <w:r>
        <w:rPr>
          <w:rFonts w:ascii="Times New Roman" w:hAnsi="Times New Roman" w:cs="Times New Roman"/>
        </w:rPr>
        <w:t xml:space="preserve"> ratkaistavaksi</w:t>
      </w:r>
      <w:r w:rsidR="008D636A">
        <w:rPr>
          <w:rFonts w:ascii="Times New Roman" w:hAnsi="Times New Roman" w:cs="Times New Roman"/>
        </w:rPr>
        <w:t xml:space="preserve"> (=valituslupaperusteet)</w:t>
      </w:r>
      <w:r w:rsidR="003D335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Jos valituslupaa ei myönnetä, </w:t>
      </w:r>
      <w:proofErr w:type="spellStart"/>
      <w:r>
        <w:rPr>
          <w:rFonts w:ascii="Times New Roman" w:hAnsi="Times New Roman" w:cs="Times New Roman"/>
        </w:rPr>
        <w:t>KäO:n</w:t>
      </w:r>
      <w:proofErr w:type="spellEnd"/>
      <w:r>
        <w:rPr>
          <w:rFonts w:ascii="Times New Roman" w:hAnsi="Times New Roman" w:cs="Times New Roman"/>
        </w:rPr>
        <w:t xml:space="preserve"> ratkaisu jää pysyväksi. </w:t>
      </w:r>
      <w:r w:rsidR="008D636A">
        <w:rPr>
          <w:rFonts w:ascii="Times New Roman" w:hAnsi="Times New Roman" w:cs="Times New Roman"/>
        </w:rPr>
        <w:t>(1 p)</w:t>
      </w:r>
    </w:p>
    <w:p w:rsidR="00ED6063" w:rsidRDefault="003D3350" w:rsidP="003D335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D6063">
        <w:rPr>
          <w:rFonts w:ascii="Times New Roman" w:hAnsi="Times New Roman" w:cs="Times New Roman"/>
        </w:rPr>
        <w:t xml:space="preserve">alituslupaperusteet ovat </w:t>
      </w:r>
      <w:r w:rsidR="00ED6063" w:rsidRPr="0029494E">
        <w:rPr>
          <w:rFonts w:ascii="Times New Roman" w:hAnsi="Times New Roman" w:cs="Times New Roman"/>
        </w:rPr>
        <w:t>prejudikaattiperuste</w:t>
      </w:r>
      <w:r>
        <w:rPr>
          <w:rFonts w:ascii="Times New Roman" w:hAnsi="Times New Roman" w:cs="Times New Roman"/>
        </w:rPr>
        <w:t xml:space="preserve">, </w:t>
      </w:r>
      <w:r w:rsidR="00ED6063">
        <w:rPr>
          <w:rFonts w:ascii="Times New Roman" w:hAnsi="Times New Roman" w:cs="Times New Roman"/>
        </w:rPr>
        <w:t>purkuperuste</w:t>
      </w:r>
      <w:r>
        <w:rPr>
          <w:rFonts w:ascii="Times New Roman" w:hAnsi="Times New Roman" w:cs="Times New Roman"/>
        </w:rPr>
        <w:t xml:space="preserve"> ja </w:t>
      </w:r>
      <w:r w:rsidR="00ED6063">
        <w:rPr>
          <w:rFonts w:ascii="Times New Roman" w:hAnsi="Times New Roman" w:cs="Times New Roman"/>
        </w:rPr>
        <w:t>painavan syyn peruste</w:t>
      </w:r>
      <w:r w:rsidR="008D636A">
        <w:rPr>
          <w:rFonts w:ascii="Times New Roman" w:hAnsi="Times New Roman" w:cs="Times New Roman"/>
        </w:rPr>
        <w:t xml:space="preserve">. </w:t>
      </w:r>
      <w:r w:rsidR="00933220">
        <w:rPr>
          <w:rFonts w:ascii="Times New Roman" w:hAnsi="Times New Roman" w:cs="Times New Roman"/>
        </w:rPr>
        <w:t>Ennakkopäätösvalituksen voi tehdä prejudikaattiperusteella.</w:t>
      </w:r>
      <w:r w:rsidR="008D636A">
        <w:rPr>
          <w:rFonts w:ascii="Times New Roman" w:hAnsi="Times New Roman" w:cs="Times New Roman"/>
        </w:rPr>
        <w:t xml:space="preserve"> (1 p)</w:t>
      </w:r>
    </w:p>
    <w:p w:rsidR="00ED6063" w:rsidRDefault="00ED6063" w:rsidP="00ED606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Lisäksi </w:t>
      </w:r>
      <w:r w:rsidR="008D636A">
        <w:rPr>
          <w:rFonts w:ascii="Times New Roman" w:hAnsi="Times New Roman" w:cs="Times New Roman"/>
        </w:rPr>
        <w:t>valituksessa on mainittava 1)</w:t>
      </w:r>
      <w:r>
        <w:rPr>
          <w:rFonts w:ascii="Times New Roman" w:hAnsi="Times New Roman" w:cs="Times New Roman"/>
        </w:rPr>
        <w:t xml:space="preserve"> miltä kohdin ratkaisuun haetaan muutosta, 2) mitä muutoksia sekä 3) perusteet joilla muutosta vaaditaan</w:t>
      </w:r>
      <w:r w:rsidR="008D636A">
        <w:rPr>
          <w:rFonts w:ascii="Times New Roman" w:hAnsi="Times New Roman" w:cs="Times New Roman"/>
        </w:rPr>
        <w:t xml:space="preserve"> (1 p)</w:t>
      </w:r>
    </w:p>
    <w:p w:rsidR="008D636A" w:rsidRDefault="008D636A" w:rsidP="00933220">
      <w:pPr>
        <w:spacing w:line="360" w:lineRule="auto"/>
        <w:ind w:left="2608" w:firstLine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A:n tulee esittää ennakkopäätösvalituksessaan peruste, miksi </w:t>
      </w:r>
      <w:proofErr w:type="spellStart"/>
      <w:r>
        <w:rPr>
          <w:rFonts w:ascii="Times New Roman" w:hAnsi="Times New Roman" w:cs="Times New Roman"/>
        </w:rPr>
        <w:t>KKO:n</w:t>
      </w:r>
      <w:proofErr w:type="spellEnd"/>
      <w:r>
        <w:rPr>
          <w:rFonts w:ascii="Times New Roman" w:hAnsi="Times New Roman" w:cs="Times New Roman"/>
        </w:rPr>
        <w:t xml:space="preserve"> tulisi myöntää valituslupa. Näin ollen A voi, saatuaan B:ltä suostumuksen, tehdä ennakkopäätösvalituksen prejudikaattiperusteella, sillä asiassa olisi tärkeää saada ennakkoratkaisu siitä, onko kyseessä ollut sallittu kanteenmuutos vai ei. </w:t>
      </w:r>
      <w:r w:rsidR="00933220">
        <w:rPr>
          <w:rFonts w:ascii="Times New Roman" w:hAnsi="Times New Roman" w:cs="Times New Roman"/>
        </w:rPr>
        <w:t>(0,5</w:t>
      </w:r>
      <w:r>
        <w:rPr>
          <w:rFonts w:ascii="Times New Roman" w:hAnsi="Times New Roman" w:cs="Times New Roman"/>
        </w:rPr>
        <w:t xml:space="preserve"> p)</w:t>
      </w:r>
    </w:p>
    <w:p w:rsidR="00ED6063" w:rsidRDefault="008D636A" w:rsidP="00933220">
      <w:pPr>
        <w:pStyle w:val="NormaaliWWW"/>
        <w:spacing w:line="360" w:lineRule="auto"/>
        <w:ind w:left="2608" w:firstLine="2"/>
        <w:jc w:val="both"/>
      </w:pPr>
      <w:r>
        <w:t>A:n on myös mainittava, että hän vaatii muutosta tuomitun hinnanalennuksen määrään sekä käräjäoikeuden ratkaisuun siltä osin, kun se ei ole hyväksynyt pääkäsittelyssä esitettyä uutta todistetta ja todistusteemaa. (0,5 p)</w:t>
      </w:r>
    </w:p>
    <w:p w:rsidR="00ED6063" w:rsidRDefault="00933220" w:rsidP="002D00B5">
      <w:pPr>
        <w:pStyle w:val="NormaaliWWW"/>
        <w:jc w:val="both"/>
      </w:pPr>
      <w:r>
        <w:t>________________________________</w:t>
      </w:r>
    </w:p>
    <w:p w:rsidR="002D00B5" w:rsidRDefault="002D00B5" w:rsidP="002D00B5">
      <w:pPr>
        <w:pStyle w:val="NormaaliWWW"/>
      </w:pPr>
      <w:bookmarkStart w:id="0" w:name="_GoBack"/>
      <w:bookmarkEnd w:id="0"/>
    </w:p>
    <w:sectPr w:rsidR="002D00B5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6A" w:rsidRDefault="008D636A" w:rsidP="008D636A">
      <w:pPr>
        <w:spacing w:after="0" w:line="240" w:lineRule="auto"/>
      </w:pPr>
      <w:r>
        <w:separator/>
      </w:r>
    </w:p>
  </w:endnote>
  <w:endnote w:type="continuationSeparator" w:id="0">
    <w:p w:rsidR="008D636A" w:rsidRDefault="008D636A" w:rsidP="008D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834768"/>
      <w:docPartObj>
        <w:docPartGallery w:val="Page Numbers (Bottom of Page)"/>
        <w:docPartUnique/>
      </w:docPartObj>
    </w:sdtPr>
    <w:sdtEndPr/>
    <w:sdtContent>
      <w:p w:rsidR="008D636A" w:rsidRDefault="008D636A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220">
          <w:rPr>
            <w:noProof/>
          </w:rPr>
          <w:t>5</w:t>
        </w:r>
        <w:r>
          <w:fldChar w:fldCharType="end"/>
        </w:r>
      </w:p>
    </w:sdtContent>
  </w:sdt>
  <w:p w:rsidR="008D636A" w:rsidRDefault="008D636A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6A" w:rsidRDefault="008D636A" w:rsidP="008D636A">
      <w:pPr>
        <w:spacing w:after="0" w:line="240" w:lineRule="auto"/>
      </w:pPr>
      <w:r>
        <w:separator/>
      </w:r>
    </w:p>
  </w:footnote>
  <w:footnote w:type="continuationSeparator" w:id="0">
    <w:p w:rsidR="008D636A" w:rsidRDefault="008D636A" w:rsidP="008D6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30B29"/>
    <w:multiLevelType w:val="hybridMultilevel"/>
    <w:tmpl w:val="6E040D2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F6FA7"/>
    <w:multiLevelType w:val="hybridMultilevel"/>
    <w:tmpl w:val="7AA80678"/>
    <w:lvl w:ilvl="0" w:tplc="A700373C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51C964DC"/>
    <w:multiLevelType w:val="hybridMultilevel"/>
    <w:tmpl w:val="6C28B982"/>
    <w:lvl w:ilvl="0" w:tplc="8B1C4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C0E5C"/>
    <w:multiLevelType w:val="hybridMultilevel"/>
    <w:tmpl w:val="EDA438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B5"/>
    <w:rsid w:val="00164BE7"/>
    <w:rsid w:val="002274B8"/>
    <w:rsid w:val="002D00B5"/>
    <w:rsid w:val="003D3350"/>
    <w:rsid w:val="008D636A"/>
    <w:rsid w:val="00933220"/>
    <w:rsid w:val="00D02AC6"/>
    <w:rsid w:val="00ED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2D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ED606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D6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636A"/>
  </w:style>
  <w:style w:type="paragraph" w:styleId="Alatunniste">
    <w:name w:val="footer"/>
    <w:basedOn w:val="Normaali"/>
    <w:link w:val="AlatunnisteChar"/>
    <w:uiPriority w:val="99"/>
    <w:unhideWhenUsed/>
    <w:rsid w:val="008D6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636A"/>
  </w:style>
  <w:style w:type="paragraph" w:styleId="Seliteteksti">
    <w:name w:val="Balloon Text"/>
    <w:basedOn w:val="Normaali"/>
    <w:link w:val="SelitetekstiChar"/>
    <w:uiPriority w:val="99"/>
    <w:semiHidden/>
    <w:unhideWhenUsed/>
    <w:rsid w:val="00D0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2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2D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ED6063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8D6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636A"/>
  </w:style>
  <w:style w:type="paragraph" w:styleId="Alatunniste">
    <w:name w:val="footer"/>
    <w:basedOn w:val="Normaali"/>
    <w:link w:val="AlatunnisteChar"/>
    <w:uiPriority w:val="99"/>
    <w:unhideWhenUsed/>
    <w:rsid w:val="008D63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636A"/>
  </w:style>
  <w:style w:type="paragraph" w:styleId="Seliteteksti">
    <w:name w:val="Balloon Text"/>
    <w:basedOn w:val="Normaali"/>
    <w:link w:val="SelitetekstiChar"/>
    <w:uiPriority w:val="99"/>
    <w:semiHidden/>
    <w:unhideWhenUsed/>
    <w:rsid w:val="00D02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02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1461</Words>
  <Characters>11835</Characters>
  <Application>Microsoft Office Word</Application>
  <DocSecurity>0</DocSecurity>
  <Lines>98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Luoma</dc:creator>
  <cp:lastModifiedBy>Sanna Luoma</cp:lastModifiedBy>
  <cp:revision>7</cp:revision>
  <cp:lastPrinted>2017-04-19T12:24:00Z</cp:lastPrinted>
  <dcterms:created xsi:type="dcterms:W3CDTF">2017-04-19T10:53:00Z</dcterms:created>
  <dcterms:modified xsi:type="dcterms:W3CDTF">2017-04-20T13:43:00Z</dcterms:modified>
</cp:coreProperties>
</file>