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E6" w:rsidRPr="00163785" w:rsidRDefault="006878E6" w:rsidP="00D756A4">
      <w:pPr>
        <w:pStyle w:val="Otsikko"/>
      </w:pPr>
      <w:r w:rsidRPr="00D756A4">
        <w:t xml:space="preserve">Tieto- ja </w:t>
      </w:r>
      <w:r w:rsidR="0021256B">
        <w:t>w</w:t>
      </w:r>
      <w:r w:rsidRPr="00D756A4">
        <w:t>iestintäteknologia</w:t>
      </w:r>
      <w:r w:rsidR="00163785">
        <w:t>®</w:t>
      </w:r>
    </w:p>
    <w:p w:rsidR="00A143F5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Siirry na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igaatioonSiirry hakuun</w:t>
      </w:r>
    </w:p>
    <w:tbl>
      <w:tblPr>
        <w:tblStyle w:val="Ruudukkotaulukko3-korostus5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143F5" w:rsidTr="00A143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07" w:type="dxa"/>
          </w:tcPr>
          <w:p w:rsidR="00A143F5" w:rsidRDefault="00A143F5" w:rsidP="00D756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usein</w:t>
            </w: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joskus</w:t>
            </w: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 ikinä</w:t>
            </w:r>
          </w:p>
        </w:tc>
      </w:tr>
      <w:tr w:rsidR="00A143F5" w:rsidTr="00A1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A143F5" w:rsidRDefault="00A143F5" w:rsidP="00D756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käytän somea</w:t>
            </w: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F5" w:rsidTr="00A143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A143F5" w:rsidRDefault="00A143F5" w:rsidP="00D756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käytän wordia</w:t>
            </w: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43F5" w:rsidTr="00A14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:rsidR="00A143F5" w:rsidRDefault="00A143F5" w:rsidP="00D756A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käytän excelia</w:t>
            </w: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7" w:type="dxa"/>
          </w:tcPr>
          <w:p w:rsidR="00A143F5" w:rsidRDefault="00A143F5" w:rsidP="00D756A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Broom icon.s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g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Tätä artikkelia tai sen osaa on pyydetty parannetta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aksi, koska se ei täytä Wikipedian laatu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aatimuksia.</w:t>
      </w:r>
    </w:p>
    <w:p w:rsidR="006878E6" w:rsidRPr="006878E6" w:rsidRDefault="0021256B" w:rsidP="00D756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oit auttaa Wikipediaa parantamalla artikkelia tai merkitsemällä ongelmat tarkemmin. Lisää tietoa saattaa olla keskustelusi</w:t>
      </w:r>
      <w:r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ulla.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Tarkennus: hämmentä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 määritelmä: "elektronisia medioita, joita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käyttää apuna tietojenkäsittelyssä (!?). Jaottelutyypittely täysin mieli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altainen. Sisältö käsittelee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ain opetuskäyttöä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iestintäteknologia (T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T) tai 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iestintätekniikka (engl. information and communication technology eli ICT) tarkoittaa kaikkia niitä elektronisia medioita, joita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käyttää apuna tietojenkäsittelyssä.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jaotella seuraa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asti:kenen mukaan?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Magneettiset 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yt/kasetit, optiset 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yt (CD, D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D yms.), flash-muistit jne. Paperille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merkinnät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oidaan myös lukea 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iestintäteknologian piiriin kuulu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iksi.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Lähetysteknologia: radio ja tele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isio.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Teknologia, joka mahdollistaa kommunikoinnin ku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ien, äänen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ideon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älityksellä: mikrofoni, (web-)kamera, kaiutin, puhelin...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ICT sisältää kaikenlaiset tietotekniset päätelaitteet, kuten keskustietokoneet, pöytätietokoneet, kannetta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tietokoneet, kämmentietokoneet, mobiililaitteet ym. Lisäksi </w:t>
      </w:r>
      <w:bookmarkStart w:id="0" w:name="_GoBack"/>
      <w:bookmarkEnd w:id="0"/>
      <w:r w:rsidRPr="006878E6">
        <w:rPr>
          <w:rFonts w:ascii="Arial" w:hAnsi="Arial" w:cs="Arial"/>
          <w:sz w:val="24"/>
          <w:szCs w:val="24"/>
        </w:rPr>
        <w:lastRenderedPageBreak/>
        <w:t>ICT sisältää myös tiedonsiirtoon tarkoitetut teknologiat, kuten lähi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erkot (LAN), langattomat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erkot (WLAN), mobiiliyhteydet (GSM, GPRS, UMTS, 3G ym.) sekä Internetin ym.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Sisällysluettelo</w:t>
      </w:r>
    </w:p>
    <w:p w:rsidR="006878E6" w:rsidRPr="0021256B" w:rsidRDefault="006878E6" w:rsidP="0021256B">
      <w:pPr>
        <w:pStyle w:val="Eivli"/>
        <w:rPr>
          <w:sz w:val="56"/>
          <w:szCs w:val="56"/>
        </w:rPr>
      </w:pPr>
      <w:r w:rsidRPr="006878E6">
        <w:t>1</w:t>
      </w:r>
      <w:r w:rsidRPr="006878E6">
        <w:tab/>
        <w:t xml:space="preserve">Tieto- ja </w:t>
      </w:r>
      <w:r w:rsidR="0021256B">
        <w:t>w</w:t>
      </w:r>
      <w:r w:rsidRPr="006878E6">
        <w:t>iestintäteknologian opetuskäyttö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1.1</w:t>
      </w:r>
      <w:r w:rsidRPr="006878E6">
        <w:rPr>
          <w:rFonts w:ascii="Arial" w:hAnsi="Arial" w:cs="Arial"/>
          <w:sz w:val="24"/>
          <w:szCs w:val="24"/>
        </w:rPr>
        <w:tab/>
        <w:t>Yhteisölliset teknologiat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1.2</w:t>
      </w:r>
      <w:r w:rsidRPr="006878E6">
        <w:rPr>
          <w:rFonts w:ascii="Arial" w:hAnsi="Arial" w:cs="Arial"/>
          <w:sz w:val="24"/>
          <w:szCs w:val="24"/>
        </w:rPr>
        <w:tab/>
        <w:t>Teknologia ja 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aikeudet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1.3</w:t>
      </w:r>
      <w:r w:rsidRPr="006878E6">
        <w:rPr>
          <w:rFonts w:ascii="Arial" w:hAnsi="Arial" w:cs="Arial"/>
          <w:sz w:val="24"/>
          <w:szCs w:val="24"/>
        </w:rPr>
        <w:tab/>
        <w:t>Teknologia ja opettajan ammattitaito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1.4</w:t>
      </w:r>
      <w:r w:rsidRPr="006878E6">
        <w:rPr>
          <w:rFonts w:ascii="Arial" w:hAnsi="Arial" w:cs="Arial"/>
          <w:sz w:val="24"/>
          <w:szCs w:val="24"/>
        </w:rPr>
        <w:tab/>
        <w:t>Opetuskäytön ongelmia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1.5</w:t>
      </w:r>
      <w:r w:rsidRPr="006878E6">
        <w:rPr>
          <w:rFonts w:ascii="Arial" w:hAnsi="Arial" w:cs="Arial"/>
          <w:sz w:val="24"/>
          <w:szCs w:val="24"/>
        </w:rPr>
        <w:tab/>
        <w:t>Lopuksi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2</w:t>
      </w:r>
      <w:r w:rsidRPr="006878E6">
        <w:rPr>
          <w:rFonts w:ascii="Arial" w:hAnsi="Arial" w:cs="Arial"/>
          <w:sz w:val="24"/>
          <w:szCs w:val="24"/>
        </w:rPr>
        <w:tab/>
        <w:t>Katso myös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3</w:t>
      </w:r>
      <w:r w:rsidRPr="006878E6">
        <w:rPr>
          <w:rFonts w:ascii="Arial" w:hAnsi="Arial" w:cs="Arial"/>
          <w:sz w:val="24"/>
          <w:szCs w:val="24"/>
        </w:rPr>
        <w:tab/>
        <w:t>Lähteet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4</w:t>
      </w:r>
      <w:r w:rsidRPr="006878E6">
        <w:rPr>
          <w:rFonts w:ascii="Arial" w:hAnsi="Arial" w:cs="Arial"/>
          <w:sz w:val="24"/>
          <w:szCs w:val="24"/>
        </w:rPr>
        <w:tab/>
        <w:t>Aiheesta muualla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iestintäteknologian opetuskäyttö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iestintäteknologia (T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T) on tullut arkipäi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äiseksi osaksi opetuksen luokkahuonekäytäntöjä ja erilaisia etä- ja monimuoto-opetuksen muotoja.[1] Toisin sanoen oppiminen ei ole enää luokkahuonesidonnaista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aan opiskella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 missä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ain.</w:t>
      </w:r>
    </w:p>
    <w:p w:rsidR="006878E6" w:rsidRPr="006878E6" w:rsidRDefault="00934686" w:rsidP="00D756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255270</wp:posOffset>
            </wp:positionV>
            <wp:extent cx="3409950" cy="2413635"/>
            <wp:effectExtent l="0" t="0" r="0" b="5715"/>
            <wp:wrapThrough wrapText="bothSides">
              <wp:wrapPolygon edited="0">
                <wp:start x="0" y="0"/>
                <wp:lineTo x="0" y="21481"/>
                <wp:lineTo x="21479" y="21481"/>
                <wp:lineTo x="21479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tau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Luokkahuoneeessa tapahtu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aan toimintaan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tarjoaa mahdollisuuksia asioiden esittämiseen, yhteiseen muokkaamiseen ja tallentamiseen.[2] Parhaimmillaan teknologia on koulussa tiedonhaun, eriyttä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än työskentelyn sekä kodin ja koulun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aikutuksen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äline.[3] Kouluja on 1980-lu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ulta asti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arustettu atk-luokilla ja tietotekniikkaa on opetettu omana </w:t>
      </w:r>
      <w:r w:rsidRPr="006878E6">
        <w:rPr>
          <w:rFonts w:ascii="Arial" w:hAnsi="Arial" w:cs="Arial"/>
          <w:sz w:val="24"/>
          <w:szCs w:val="24"/>
        </w:rPr>
        <w:lastRenderedPageBreak/>
        <w:t xml:space="preserve">osa-alueenaan.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iimeaikainen kehitys on suuntautunut siihen, että teknologia pyritään tuomaan luokkahuoneisiin ja osaksi opetustyön arkea. Koulujen resursseista ja opettajien taidoista riippuen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T:n käyttö opetuksessa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aihtelee. Tyypillisesti uudet opetustilat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arustetaan dataprojektorilla, tietokoneella ja dokumenttikameralla tai muilla pedagogisesti perustelluilla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älineillä. Teknologia mahdollistaa sen, että opettaja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tarkkailla luokkaa työskennellessään, eikä kuulijoiden tar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itse käyttää huomiokykyään kopiomiseen digitaalisen tallentamisen ansiosta.[2]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iestintätekniikan on todettu ole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an tehokas oppimisen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äline.kenen mukaan? Sen 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ulla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herättää kiinnostusta ja moti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 sitoutumaan opitta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aan asiaan. Hy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in suunnitellulla käytöllä ja tarkoituksenmukaisella työskentelyn 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ioinnilla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myös ohjata oppilasta toi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otunlaiseen 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oiteorientaatioon. Erityisesti 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aikeuksista kärsi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oppilaat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hyötyä oppimisprosessia tuke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asta teknologiasta. Scaffoldingin eli kognitii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isen tuen periaatteen mukaan oppija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säädeltä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än,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äliaikaisen tuen 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ulla suoriutua taitojensa ylärajoila, lähikehityksen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yöhykkeellä suoritetta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asta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ästä, josta hän ei sel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iytyisi ilman apua.[4]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Teknologisissa oppimisympäristöissä scaffolding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rakentaa siten, että se auttaa oppijaa suuntautumaan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ään, organisoi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än rakennetta, kiinnittää oppilaan huomion ongelmanratkaisun kannalta tärkeisiin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aiheisiin esimerkiksi apukysymysten 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ulla tai tekee ajattelua näky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ämmäksi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isualisoimalla oppimisen eri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aiheita, mallintamalla eksperttien ajattelua sekä tukemalla oppijoiden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älistä keskustelua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aikutusta. Lisäksi scaffolding saattaa toimia hy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in opettajan apu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älineenä luokkahuoneessa, jossa opettaja ei pysty auttamaan kaikkia yhtä aikaa.[5]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iestintäteknologioiden kehityshankkeet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yrittäneet juurruttaa uusia laitteita ja ohjelmistoja koulumaailmaan. Usein nämä hankkeilla ei kuitenkaan ole saatu aikaan pitkäaikaisia muutoksia koulujen ja opettajien toimintata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oissa. "Kokeilujen päätyttyä teknologian käyttöinnostus on loppunut ja arkipäi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än kiireiden paineessa on siirrytty takaisin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anhoihin toimintatapoihin. --- 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iestintäteknologioiden opetuskäytön tehostaminen ja lisääminen edellyttää kuitenkin, että lähtökohtana on koulun </w:t>
      </w:r>
      <w:r w:rsidRPr="006878E6">
        <w:rPr>
          <w:rFonts w:ascii="Arial" w:hAnsi="Arial" w:cs="Arial"/>
          <w:sz w:val="24"/>
          <w:szCs w:val="24"/>
        </w:rPr>
        <w:lastRenderedPageBreak/>
        <w:t>rakenteellinen ja pedagoginen kehittäminen sekä riittä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 digitaalisen opetusmateriaalin saata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uus ja opettajien teknis-pedagoginen koulutus." On tarpeen myös 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oida,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oisiko oppilaiden mukanaan kantamaa teknologiaa hyödyntää opetuksessa.[3] Opetussuunnitelman osana ole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 kunta- tai koulukohtainen tietostrategia on koettu toiminnan kannalta tärkeäksi.[6]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Mikäli teknologian opetuskäyttöön halutaan pysy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iä muutoksia kannattaa huomio siirtää ennen kaikkea koulukulttuurin muutokseen. Yhteisöllisen oppimisen 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iointiin ei myöskään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so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eltaa samoja 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iointikeinoja kuin perinteisen oppimisen kohdalla, joten uusia 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iointikeinoja tulisi kehittää. Opettajajohtoisessa, tiukkaan oppiainejakoon perustu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assa järjestelmässä teknologia ei tuota sen parempia tuloksia kuin perinteinen opetuskaan. Parhaiten sitä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hyödyntää uuden oppimiskäsityksen mukaisilla työta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oilla. Täysin uusia ulottu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uuksia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T:n käyttöön saadaan projektimuotoisella opetuksella, joka on oppiaineita integroi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aa, oppilaiden keskenäiseen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aikutukseen ja ongelmanratkaisuun perustu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 työtapa. Täten teknologiasta tulee luonnollinen työ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äline niin tiedon etsintään, muokkaamiseen, prosessointiin ja oppijoiden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äliseen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aikutukseen.[3]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iestintäteknologian suhde opetukseen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jakaa seuraa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alla 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alla:kenen mukaan?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opetuksen kohteena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 oppimisen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älineenä (esimerkiksi esitykset ja tiedonhaku)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opetuksen järjestämisen työkaluna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 tarjoaa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aihtoehtoisen 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an perinteisen opetuksen rinnalle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lisää oppilaiden itseohjautu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uutta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Yhteisölliset teknologiat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Opetuksen ja oppimisen tukena käytettä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yhteisölliset teknologiat, kuten sähköposti,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erkko-oppimisympäristöt,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erkossa jaetut dokumentit ja työryhmäohjelmistot,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</w:t>
      </w:r>
      <w:r w:rsidRPr="006878E6">
        <w:rPr>
          <w:rFonts w:ascii="Arial" w:hAnsi="Arial" w:cs="Arial"/>
          <w:sz w:val="24"/>
          <w:szCs w:val="24"/>
        </w:rPr>
        <w:lastRenderedPageBreak/>
        <w:t xml:space="preserve">yleistyneet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oimakkaasti 2000-lu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un puolella. Yhteisöllisten teknologioiden kehittämisen ja käyttöönoton hankaluutena on kuitenkin se, että niitä yritetään omaksua irrallisina ja riippumattomina järjestelminä jo olemassa ole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iin käytäntöihin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älineisiin nähden. Monesti unohdetaan tarkastella eri tekijöiden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älisiä suhteita ja niiden kehittymistä. Tällä hetkellä ei ole olemassa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akiintunutta tapaa luokitella yhteisöllisiä teknologioita. Tässä yhteydessä niillä kuitenkin tarkoitetaan so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elluksia, jotka mahdollista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usean ihmisen eriaikaisen (asynkronisen) tai samanaikaisen (synkronisen) työskentelyn. [7] Sosiaalisen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aikutuksen edistämistä sekä opettajan ja oppilaiden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älillä että oppilaiden kesken on alettu yhä enemmän huomioida kehiteltäessä järjestelmiä, joissa useat henkilöt työskentele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 samanaikaisesti eri työpisteissä (synkroninen työskentely). [8]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934686" w:rsidP="00D756A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688975</wp:posOffset>
            </wp:positionH>
            <wp:positionV relativeFrom="paragraph">
              <wp:posOffset>1576705</wp:posOffset>
            </wp:positionV>
            <wp:extent cx="4006850" cy="3181350"/>
            <wp:effectExtent l="0" t="0" r="0" b="0"/>
            <wp:wrapTight wrapText="bothSides">
              <wp:wrapPolygon edited="0">
                <wp:start x="0" y="0"/>
                <wp:lineTo x="0" y="21471"/>
                <wp:lineTo x="21463" y="21471"/>
                <wp:lineTo x="21463" y="0"/>
                <wp:lineTo x="0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8E6" w:rsidRPr="006878E6">
        <w:rPr>
          <w:rFonts w:ascii="Arial" w:hAnsi="Arial" w:cs="Arial"/>
          <w:sz w:val="24"/>
          <w:szCs w:val="24"/>
        </w:rPr>
        <w:t>Nykyisin eräs koulutuksen suurin haaste on tukea oppijoita sellaisten tietojen ja taitojen saa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uttamisessa, joita tar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 xml:space="preserve">itaan nykyisessä sosiaalisen ja taloudellisen kehityksen ohjaamassa tietoyhteiskunnassa. Kyetäkseen 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astaamaan haasteeseen on koululaitoksen tämän takia löydettä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ä uusia pedagogisia menetelmiä. Muun muassa tietokonea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usteinen yhteisöllinen oppiminen (Computer Supported Collaborati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e Learning; CSCL) on lupaa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a menetelmä oppimisen ja opettamisen kehittämisessä T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T:n a</w:t>
      </w:r>
      <w:r w:rsidR="0021256B">
        <w:rPr>
          <w:rFonts w:ascii="Arial" w:hAnsi="Arial" w:cs="Arial"/>
          <w:sz w:val="24"/>
          <w:szCs w:val="24"/>
        </w:rPr>
        <w:t>w</w:t>
      </w:r>
      <w:r w:rsidR="006878E6" w:rsidRPr="006878E6">
        <w:rPr>
          <w:rFonts w:ascii="Arial" w:hAnsi="Arial" w:cs="Arial"/>
          <w:sz w:val="24"/>
          <w:szCs w:val="24"/>
        </w:rPr>
        <w:t>ulla. [8]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Yhteisöllisestä oppimisesta puhuttaessa on mielekästä erottaa toisistaan käsitteet yhteistoiminta (cooperation) ja yhteisöllisyys (collaboration). Eroa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uudet koske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yksittäisen jäsenen roolia ja osallistumista oppimisyhteisössä. Yhteistoiminnallisessa ryhmässä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jaetaan osallistujien kesken ja jokainen jäsen on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astuussa ongelmanratkaisuprosessissa ainoastaan omasta osuudestaan. </w:t>
      </w:r>
      <w:r w:rsidRPr="006878E6">
        <w:rPr>
          <w:rFonts w:ascii="Arial" w:hAnsi="Arial" w:cs="Arial"/>
          <w:sz w:val="24"/>
          <w:szCs w:val="24"/>
        </w:rPr>
        <w:lastRenderedPageBreak/>
        <w:t xml:space="preserve">Yhteisöllisyyden käsitettä taas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astaa ryhmän yhteinen pyrkimys ratkaista ongelma, jolloin jokaisen osallistujan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uoroinen panostus on tärkeää. [8]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Kognitii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isten periaatteiden mukaan suunniteltu yhteisöllisen oppimisen ympäristö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tukea koko oppi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an yhteisön tiedon tason kehittymistä sekä yksittäisen oppijan ymmärryksen sy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enemistä sosiaalisesti jaetussa päättelyketjussa. Osallistujien kesken on siis mahdollista jakaa kaikki tutki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an työskentelyn osa-alueet, kuten esimerkiksi 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oitteden asettaminen, kysymysten määrittäminen, selitysten tuottaminen ja tieteellisen tiedon etsiminen. Sosiaalisesti jaettu prosessi tukee siis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ah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asti yksilöiden metakognitii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isten taitojen kehittymistä. [8]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Teknologia ja 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aikeudet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 xml:space="preserve">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iestintätekniikan opetuskäytöllä on huomattu ole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aikutusta 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aikeuksiin.lähde?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saattaa ehkäistä erityistä tukea tar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itse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ien oppilaiden syrjäytymistä koulutuspolulta. Oppimisympäristö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sisältää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iä, joissa on paljon toistoja ja erilaisia harjoituksia. Lisäksi moti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aatio ja emotionaalinen tuki merkittä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yyden ymmärtämiseen lisäänty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ät.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 olla apukeinona synnyttämässä pitkäaikaista kiinnostusta ja myönteistä sitoutumista. 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iestintäteknogian opetuskäytöllä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 olla erittäin myönteisiä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aikutuksia esimerkiksi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uoro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aikutusongelmista kärsi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ille. "Kas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ottoman"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iestinnän kautta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 olla helpompi kommunikoida toisten kanssa. Lisäksi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erkkotekniikka antaa aikaa pohtia omia ajatuksia ilman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älitöntä suorituspainetta ja häpeän tunnetta. Kuitenkin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astaukset on muotoilta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 huolellisemmin, sillä apuna ei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käyttää fyysistä elekieltä.lähde?</w:t>
      </w: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</w:p>
    <w:p w:rsidR="006878E6" w:rsidRPr="006878E6" w:rsidRDefault="006878E6" w:rsidP="00D756A4">
      <w:pPr>
        <w:spacing w:line="360" w:lineRule="auto"/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 opetuskäytössä saattaa myös luoda ai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an uudenlaisia 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aikeuksia sekä syrjäytymistä. Esimerkiksi sopeutumisongelmat uudenlaiseen oppimisympäristöön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moninkertaistaa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aikeudet. Uudenlaisen toiminnan ja ajattelun jousta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uus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olla joillekin yli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oimaista.kenen mukaan?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Oppimis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aikeuksista kärsi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ien oppilaiden auttamiseksi olisi räätälöitä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 oppimisympäristöjä entistä mukautu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ammiksi. Tällöin oppimisympäristö tunnistaisi mm. </w:t>
      </w:r>
      <w:r w:rsidRPr="006878E6">
        <w:rPr>
          <w:rFonts w:ascii="Arial" w:hAnsi="Arial" w:cs="Arial"/>
          <w:sz w:val="24"/>
          <w:szCs w:val="24"/>
        </w:rPr>
        <w:lastRenderedPageBreak/>
        <w:t>oppilaiden itseohjautu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uuden ja itsesäätelytaitojen eritasoisuuden sekä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astaisi "tarkoituksenmukaisesti kunkin yksilön kehitystarpeisiin". Lisäksi on erittäin tärkeää, että oppijat tutustutetaan kunnolla ohjelmistojen käyttöön, sillä har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oin oppijoilla on yhden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ertaisia mahdollisuuksia hankkia teknologiasta ja sen käytöstä kokemuksia lähiympäristöstään. Oppimisympäristön tulisi edistää toimimista "ar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ojensa, 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oitteidensa ja kiinnostustensa mukaan oppimistilanteessa". [9]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Teknologia ja opettajan ammattitaito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Tekniikan osallisuus opetustilanteissa on tuonut opettajan työnku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aan paljon uusia osa-alueita. Opettajien työssä on korostunut ohjaajan rooli, ja oppituntien suunnitteluun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almistumiseen liitty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lisääntyneet. Opettajalla on olta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almiina myös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arasuunnitelma, mikäli tekniikka ei toimikaan. Teknologiaa hyödyntä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ien opettajien tulee olla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almiita ottamaan riskejä ja joustamaan tilanteen mukaan.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Lisääntyneiden konkreettisten tehtä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ien ohella teknologia muuttaa opettajan roolia suhteessa oppilaisiin.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aikka ku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 tietoteknologiasta opettajan kor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aajana on käytännössä epärealistinen,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opettajat silti kokea teknologian lisääntymisen uhkana omalle asemalleen. Opettaja on perinteisesti ollut luokassa asiantuntija, joka tietää asioista oppilaita enemmän, mutta teknologiaa koske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issa kysymyksissä oppilaat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usein opettajaa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eutuneempia. Teknologia mahdollistaa oppilaille pääsyn sellaiseen ulkopuoliseen tietoon, jota opettaja ei hallitse.[10]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Opetuskäytön ongelmia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Suurimpia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T:n opetuskäytön ongelmia on koulujen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älinen eriar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oisuus. Teknologisen struktuurin hankkiminen ja ylläpito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aatii kunnilta ja kouluilta suuria in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estointeja. Niihin sijoittaminen kuuluu poliittisen päätöksenteon piiriin ja käytäntö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aihtelee hy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in paljon paikkakunnittain.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aikka koulut olisi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kuntien sisällä tasa-ar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oisia,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 eri kuntien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älille syntyä suuria eroja. Suuret kaupungit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almiita in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estoimaan teknologiseen infrastruktuuriin, kun taas pienissä kunnissa tilanne on usein haasta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ampi.[3] Heikossa taloudellisessa asemassa ole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kunnat ei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ole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oineet toteuttaa ylimääräisellä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altiona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ustuksella rahoitettuja hankkeita, koska kunta ei ole pystynyt osoittamaan omarahoitusosuutta.[6]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Opettajat ei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 aina pysty hyödyntämään opetuksensa tarpeiden mukaan atk-tiloja tai -laitteistoja kyllin jousta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asti. Toisaalta laitteistojen toiminta saatetaan kokea hitaaksi tai epä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armaksi, jolloin niiden opetuskäyttö ei ole mielekästä.[3] Älypuhelinten yleistyminen on 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annut oppimistilanteisiin oppilaiden omien laitteiden käyttömahdollisuuden (Bring your own de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ice, BYOD). Oma laite on toiminnoiltaan oppilaalle tuttu, joten aikaa ei mene laitteen käytön opetteluun yhtä paljon kuin ennen.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attomimmin omien laitteiden käyttö onnistuu, jos koulussa on WLAN-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erkko, josta esimerkiksi päästään pil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ipal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eluihin.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lastRenderedPageBreak/>
        <w:t>Ongelmia tuotta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at myös opettajien riittämätön täydennyskoulutus ja koulutuksen toteuttamismuodot. Tieto- ja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iestintätekniikan hyödyntäminen edellyttää riittä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ää teknistä ja pedagogista tukea.[6] Tutkimusten mukaan yli puolella suomalaisista opettajista on käytettä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issään riittä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ästi tietokoneita ja lähes kaikki opettajat osaa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myös käyttää niitä teknisesti. Opettajat ei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ät kuitenkaan aina tiedä, miten teknologiaa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oisi hyödyntää opetuksessa. Tieto siitä, mitä eri toimintoja yksittäisillä ohjelmilla on, ei pal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ele opetustilannetta. Opettajia kiinnostaa, miten teknologiaa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 hyödyntää esimerkiksi lukemaan opettamisessa tai prosenttilaskun harjoittelussa. Opettajat tar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itse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atkin pedagogista tukea T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T:n hyödyntämiseen opetuksessa. Merkittä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ää opettajalle on teknologian käyttökelpoisuus opetuksen ja oppilaiden oppimisen kannalta. Opettajankoulutuksen ja täydennyskoulutuksen tuleekin entistä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oimakkaammin le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ittää käyttökelpoisia teknologiaa hyödyntä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iä pedagogisia ratkaisuja. Myös kouluille ja opettajille täytyy tarjota pedagogista tukea siitä, miten teknologiaa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oidaan käyttää mielekkäästi ja oppimista edistä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ästi eri tilanteissa. [3] Teknisen käytön lisäksi tulee kiinnittää huomiota tekijänoikeuskysymyksiin sekä lähdekritiikkiin.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  <w:r w:rsidRPr="006878E6">
        <w:rPr>
          <w:rFonts w:ascii="Arial" w:hAnsi="Arial" w:cs="Arial"/>
          <w:sz w:val="24"/>
          <w:szCs w:val="24"/>
        </w:rPr>
        <w:t>Lopuksi</w:t>
      </w:r>
    </w:p>
    <w:p w:rsidR="006878E6" w:rsidRPr="00D756A4" w:rsidRDefault="0021256B" w:rsidP="00D756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aikka T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T:n opetuskäytössä on nykyisen tutkimustiedon mukaan edelleen monia kriittisiä seikkoja, 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at tule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aisuuden opetuskäytön teknologiset ratkaisut kehittyneempiä sekä oppimisprosessien että teknologian käytön suju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uuden ja so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eltu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uuden kannalta. Teknisten mahdollisuuksien kehittyminen a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 xml:space="preserve">aa uusia mahdollisuuksia ihmisen ja koneen 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uoro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aikutukselle. Osa näistä tekniikan a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 xml:space="preserve">aamista uusista mahdollisuuksista 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oi johtaa kokonaan uudenlaisiin tapoihin käyttää tekniikkaa yksilön ja yhteisön oppimisen apuna. Tieto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erkoissa on nopeasti le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 xml:space="preserve">iämässä uusia 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älineitä, jotka 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at synnyttäneet yllättä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iäkin käytäntöjä. Esimerkiksi blogit ja wikit o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 xml:space="preserve">at synnyttäneet omia spontaaneja kulttuurisia käytäntöjä, jotka 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oi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at tuoda merkittä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änkin lisän oppimista tuke</w:t>
      </w:r>
      <w:r>
        <w:rPr>
          <w:rFonts w:ascii="Arial" w:hAnsi="Arial" w:cs="Arial"/>
          <w:sz w:val="24"/>
          <w:szCs w:val="24"/>
        </w:rPr>
        <w:t>w</w:t>
      </w:r>
      <w:r w:rsidR="006878E6" w:rsidRPr="00D756A4">
        <w:rPr>
          <w:rFonts w:ascii="Arial" w:hAnsi="Arial" w:cs="Arial"/>
          <w:sz w:val="24"/>
          <w:szCs w:val="24"/>
        </w:rPr>
        <w:t>iin ympäristöihin.[11]</w:t>
      </w:r>
    </w:p>
    <w:p w:rsidR="006878E6" w:rsidRPr="006878E6" w:rsidRDefault="006878E6" w:rsidP="006878E6">
      <w:pPr>
        <w:rPr>
          <w:rFonts w:ascii="Arial" w:hAnsi="Arial" w:cs="Arial"/>
          <w:sz w:val="24"/>
          <w:szCs w:val="24"/>
        </w:rPr>
      </w:pPr>
    </w:p>
    <w:p w:rsidR="00F2456F" w:rsidRPr="006878E6" w:rsidRDefault="006878E6" w:rsidP="006878E6">
      <w:pPr>
        <w:rPr>
          <w:rFonts w:ascii="Arial" w:hAnsi="Arial" w:cs="Arial"/>
        </w:rPr>
      </w:pPr>
      <w:r w:rsidRPr="006878E6">
        <w:rPr>
          <w:rFonts w:ascii="Arial" w:hAnsi="Arial" w:cs="Arial"/>
          <w:sz w:val="24"/>
          <w:szCs w:val="24"/>
        </w:rPr>
        <w:t xml:space="preserve">On kuitenkin tärkeää ymmärtää, että perinteistä opiskelua ei olla muuttamassa moderniin ympäristöön,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aan opiskelua tuetaan uusilla toimilla siten, että se johtaisi ymmärtä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ään ja sy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 xml:space="preserve">älliseen oppimiseen. Teknologian hyödyntäminen ei itsessään tee oppimisesta tehokkaampaa tai parempaa, 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aan tärkeää on nähdä ne oppimisen älylliset ja sosiaaliset toiminnot, joihin opiskelijat osallistu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teknologian a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ulla. Tämän ymmärtämiseen tar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itaan tutkijoiden lisäksi opettajia, oman alansa asiantuntijoita, jotka kehittä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ät opetustaan inno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atii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isesti ja o</w:t>
      </w:r>
      <w:r w:rsidR="0021256B">
        <w:rPr>
          <w:rFonts w:ascii="Arial" w:hAnsi="Arial" w:cs="Arial"/>
          <w:sz w:val="24"/>
          <w:szCs w:val="24"/>
        </w:rPr>
        <w:t>w</w:t>
      </w:r>
      <w:r w:rsidRPr="006878E6">
        <w:rPr>
          <w:rFonts w:ascii="Arial" w:hAnsi="Arial" w:cs="Arial"/>
          <w:sz w:val="24"/>
          <w:szCs w:val="24"/>
        </w:rPr>
        <w:t>at kiinnostuneita omien oppilaittensa oppimisesta</w:t>
      </w:r>
      <w:r w:rsidRPr="006878E6">
        <w:rPr>
          <w:rFonts w:ascii="Arial" w:hAnsi="Arial" w:cs="Arial"/>
        </w:rPr>
        <w:t>.</w:t>
      </w:r>
    </w:p>
    <w:sectPr w:rsidR="00F2456F" w:rsidRPr="00687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9F3" w:rsidRDefault="00F579F3" w:rsidP="00D756A4">
      <w:pPr>
        <w:spacing w:after="0" w:line="240" w:lineRule="auto"/>
      </w:pPr>
      <w:r>
        <w:separator/>
      </w:r>
    </w:p>
  </w:endnote>
  <w:endnote w:type="continuationSeparator" w:id="0">
    <w:p w:rsidR="00F579F3" w:rsidRDefault="00F579F3" w:rsidP="00D75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A4" w:rsidRDefault="00D756A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472939"/>
      <w:docPartObj>
        <w:docPartGallery w:val="Page Numbers (Bottom of Page)"/>
        <w:docPartUnique/>
      </w:docPartObj>
    </w:sdtPr>
    <w:sdtEndPr/>
    <w:sdtContent>
      <w:p w:rsidR="00D756A4" w:rsidRDefault="00D756A4">
        <w:pPr>
          <w:pStyle w:val="Alatunnist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254">
          <w:rPr>
            <w:noProof/>
          </w:rPr>
          <w:t>1</w:t>
        </w:r>
        <w:r>
          <w:fldChar w:fldCharType="end"/>
        </w:r>
      </w:p>
    </w:sdtContent>
  </w:sdt>
  <w:p w:rsidR="00D756A4" w:rsidRDefault="00D756A4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A4" w:rsidRDefault="00D756A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9F3" w:rsidRDefault="00F579F3" w:rsidP="00D756A4">
      <w:pPr>
        <w:spacing w:after="0" w:line="240" w:lineRule="auto"/>
      </w:pPr>
      <w:r>
        <w:separator/>
      </w:r>
    </w:p>
  </w:footnote>
  <w:footnote w:type="continuationSeparator" w:id="0">
    <w:p w:rsidR="00F579F3" w:rsidRDefault="00F579F3" w:rsidP="00D756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A4" w:rsidRDefault="00D756A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A4" w:rsidRDefault="00D756A4" w:rsidP="00D756A4">
    <w:pPr>
      <w:pStyle w:val="Yltunniste"/>
    </w:pPr>
    <w:r>
      <w:t>Helmi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6A4" w:rsidRDefault="00D756A4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300"/>
    <w:multiLevelType w:val="hybridMultilevel"/>
    <w:tmpl w:val="5C20B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7E"/>
    <w:rsid w:val="00163785"/>
    <w:rsid w:val="0021256B"/>
    <w:rsid w:val="006878E6"/>
    <w:rsid w:val="00934686"/>
    <w:rsid w:val="00A143F5"/>
    <w:rsid w:val="00CD21AC"/>
    <w:rsid w:val="00D24254"/>
    <w:rsid w:val="00D756A4"/>
    <w:rsid w:val="00E7377E"/>
    <w:rsid w:val="00F2456F"/>
    <w:rsid w:val="00F5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339202-2ED0-4B9E-B8E4-74EFB036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87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87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6878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87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D756A4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75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756A4"/>
  </w:style>
  <w:style w:type="paragraph" w:styleId="Alatunniste">
    <w:name w:val="footer"/>
    <w:basedOn w:val="Normaali"/>
    <w:link w:val="AlatunnisteChar"/>
    <w:uiPriority w:val="99"/>
    <w:unhideWhenUsed/>
    <w:rsid w:val="00D756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56A4"/>
  </w:style>
  <w:style w:type="paragraph" w:styleId="Eivli">
    <w:name w:val="No Spacing"/>
    <w:uiPriority w:val="1"/>
    <w:qFormat/>
    <w:rsid w:val="0021256B"/>
    <w:pPr>
      <w:spacing w:after="0" w:line="240" w:lineRule="auto"/>
    </w:pPr>
  </w:style>
  <w:style w:type="table" w:styleId="TaulukkoRuudukko">
    <w:name w:val="Table Grid"/>
    <w:basedOn w:val="Normaalitaulukko"/>
    <w:uiPriority w:val="39"/>
    <w:rsid w:val="00A1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uettelotaulukko4-korostus1">
    <w:name w:val="List Table 4 Accent 1"/>
    <w:basedOn w:val="Normaalitaulukko"/>
    <w:uiPriority w:val="49"/>
    <w:rsid w:val="00A143F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ummaruudukkotaulukko5-korostus5">
    <w:name w:val="Grid Table 5 Dark Accent 5"/>
    <w:basedOn w:val="Normaalitaulukko"/>
    <w:uiPriority w:val="50"/>
    <w:rsid w:val="00A143F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udukkotaulukko3-korostus5">
    <w:name w:val="Grid Table 3 Accent 5"/>
    <w:basedOn w:val="Normaalitaulukko"/>
    <w:uiPriority w:val="48"/>
    <w:rsid w:val="00A143F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53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3DC2-CA36-41D8-AA8E-51BDEC40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1741</Words>
  <Characters>14109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Helmi Mäkelä</dc:creator>
  <cp:keywords/>
  <dc:description/>
  <cp:lastModifiedBy>Helmi Mäkelä</cp:lastModifiedBy>
  <cp:revision>2</cp:revision>
  <dcterms:created xsi:type="dcterms:W3CDTF">2018-09-26T09:09:00Z</dcterms:created>
  <dcterms:modified xsi:type="dcterms:W3CDTF">2018-09-26T09:09:00Z</dcterms:modified>
</cp:coreProperties>
</file>