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71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737"/>
        <w:gridCol w:w="2996"/>
        <w:gridCol w:w="2528"/>
        <w:gridCol w:w="2176"/>
      </w:tblGrid>
      <w:tr w:rsidR="005112F5" w:rsidRPr="0029560F" w:rsidTr="002E507B">
        <w:trPr>
          <w:trHeight w:val="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fi-F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29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Päätöksen perustelut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29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Päättäjä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12F5" w:rsidRPr="008B439F" w:rsidRDefault="005112F5" w:rsidP="002E507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</w:pPr>
            <w:r w:rsidRPr="008B439F"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  <w:t>Asia ja sen selvitys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siirtyminen tehostetusta tuesta erityiseen tukeen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17§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erityisen tuen päätöksen tarkistaminen 2. vuosiluokan jälkeen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17§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erityisen tuen päätöksen tarkistaminen ennen 7. vuosiluokkaa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17§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erityisen tuen päätöksen tarkistaminen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17§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erityisen tuen päätöksen purkaminen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17§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77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8B439F" w:rsidRDefault="005112F5" w:rsidP="002E507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</w:pPr>
            <w:r w:rsidRPr="008B439F"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  <w:t>Päätetään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opetuksen pääsääntöinen järjestämispaikka </w:t>
            </w:r>
          </w:p>
          <w:p w:rsidR="005112F5" w:rsidRPr="0029560F" w:rsidRDefault="005112F5" w:rsidP="002E507B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17§, (asiantuntijalausunto)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  <w:r w:rsidRPr="0029560F">
              <w:rPr>
                <w:rFonts w:eastAsia="Times New Roman" w:cs="Times New Roman"/>
                <w:color w:val="92D050"/>
                <w:kern w:val="24"/>
                <w:lang w:eastAsia="fi-FI"/>
              </w:rPr>
              <w:t xml:space="preserve"> </w:t>
            </w:r>
          </w:p>
        </w:tc>
      </w:tr>
      <w:tr w:rsidR="005112F5" w:rsidRPr="0029560F" w:rsidTr="002E507B">
        <w:trPr>
          <w:cantSplit/>
          <w:trHeight w:val="929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avustamispalvelut/ tulkitsemispalvelut/ apuvälineet </w:t>
            </w:r>
          </w:p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31§, (asiantuntijalausunto)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  <w:r w:rsidRPr="0029560F">
              <w:rPr>
                <w:rFonts w:eastAsia="Times New Roman" w:cs="Times New Roman"/>
                <w:color w:val="92D050"/>
                <w:kern w:val="24"/>
                <w:lang w:eastAsia="fi-FI"/>
              </w:rPr>
              <w:t xml:space="preserve"> 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pidennetyn oppivelvollisuuden aloittaminen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lääketieteellinen selvitys, PoL 25§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siirtyminen pidennetystä yleiseen oppivelvollisuuteen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psykologinen tai lääketieteellinen selvitys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oppimäärän yksilöllistäminen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11§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oppimäärän yksilöllistämisen purkaminen (siirtyminen yleiseen oppimäärään)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11§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siirtyminen oppiainejakoisesta toiminta-alueittain opiskeluun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asiantuntijalausunto, tuntijakoasetus 9§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oppiaineen opiskelusta vapauttaminen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PoL 18§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poikkeaminen tunti- tai oppiainejaosta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muu opetuksen poikkeava järjestäminen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</w:tr>
    </w:tbl>
    <w:p w:rsidR="007D55B9" w:rsidRDefault="005112F5">
      <w:bookmarkStart w:id="0" w:name="_GoBack"/>
      <w:bookmarkEnd w:id="0"/>
    </w:p>
    <w:sectPr w:rsidR="007D55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6D8E"/>
    <w:multiLevelType w:val="hybridMultilevel"/>
    <w:tmpl w:val="4E1AB792"/>
    <w:lvl w:ilvl="0" w:tplc="598485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B075D"/>
    <w:multiLevelType w:val="hybridMultilevel"/>
    <w:tmpl w:val="39E67546"/>
    <w:lvl w:ilvl="0" w:tplc="9AB485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F5"/>
    <w:rsid w:val="005112F5"/>
    <w:rsid w:val="00935182"/>
    <w:rsid w:val="009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56A6-74BD-4818-8A31-795943C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112F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1</cp:revision>
  <dcterms:created xsi:type="dcterms:W3CDTF">2016-06-17T07:37:00Z</dcterms:created>
  <dcterms:modified xsi:type="dcterms:W3CDTF">2016-06-17T07:38:00Z</dcterms:modified>
</cp:coreProperties>
</file>