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Cambria" w:hAnsi="Cambria" w:cs="Cambria" w:eastAsia="Cambria"/>
          <w:b/>
          <w:color w:val="44546A"/>
          <w:spacing w:val="0"/>
          <w:position w:val="0"/>
          <w:sz w:val="40"/>
          <w:shd w:fill="auto" w:val="clear"/>
        </w:rPr>
      </w:pPr>
      <w:r>
        <w:rPr>
          <w:rFonts w:ascii="Cambria" w:hAnsi="Cambria" w:cs="Cambria" w:eastAsia="Cambria"/>
          <w:b/>
          <w:color w:val="44546A"/>
          <w:spacing w:val="0"/>
          <w:position w:val="0"/>
          <w:sz w:val="40"/>
          <w:shd w:fill="auto" w:val="clear"/>
        </w:rPr>
        <w:t xml:space="preserve">Yhteiskuntaoppi </w:t>
      </w:r>
    </w:p>
    <w:p>
      <w:pPr>
        <w:tabs>
          <w:tab w:val="left" w:pos="851" w:leader="none"/>
        </w:tabs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44546A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b/>
          <w:color w:val="44546A"/>
          <w:spacing w:val="0"/>
          <w:position w:val="0"/>
          <w:sz w:val="32"/>
          <w:shd w:fill="auto" w:val="clear"/>
        </w:rPr>
        <w:t xml:space="preserve">4. lk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44546A"/>
          <w:spacing w:val="0"/>
          <w:position w:val="0"/>
          <w:sz w:val="24"/>
          <w:shd w:fill="auto" w:val="clear"/>
        </w:rPr>
      </w:pPr>
    </w:p>
    <w:tbl>
      <w:tblPr/>
      <w:tblGrid>
        <w:gridCol w:w="10057"/>
      </w:tblGrid>
      <w:tr>
        <w:trPr>
          <w:trHeight w:val="1" w:hRule="atLeast"/>
          <w:jc w:val="left"/>
        </w:trPr>
        <w:tc>
          <w:tcPr>
            <w:tcW w:w="1005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20" w:type="dxa"/>
              <w:right w:w="1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44546A"/>
                <w:spacing w:val="0"/>
                <w:position w:val="0"/>
                <w:sz w:val="28"/>
                <w:shd w:fill="auto" w:val="clear"/>
              </w:rPr>
              <w:t xml:space="preserve">Tavoitteet</w:t>
            </w:r>
          </w:p>
        </w:tc>
      </w:tr>
      <w:tr>
        <w:trPr>
          <w:trHeight w:val="2100" w:hRule="auto"/>
          <w:jc w:val="left"/>
        </w:trPr>
        <w:tc>
          <w:tcPr>
            <w:tcW w:w="1005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20" w:type="dxa"/>
              <w:right w:w="1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44546A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4546A"/>
                <w:spacing w:val="0"/>
                <w:position w:val="0"/>
                <w:sz w:val="24"/>
                <w:shd w:fill="auto" w:val="clear"/>
              </w:rPr>
              <w:t xml:space="preserve">Oppilas oppii:</w:t>
            </w:r>
          </w:p>
          <w:p>
            <w:pPr>
              <w:numPr>
                <w:ilvl w:val="0"/>
                <w:numId w:val="9"/>
              </w:numPr>
              <w:spacing w:before="0" w:after="0" w:line="240"/>
              <w:ind w:right="0" w:left="720" w:hanging="360"/>
              <w:jc w:val="left"/>
              <w:rPr>
                <w:rFonts w:ascii="Times New Roman" w:hAnsi="Times New Roman" w:cs="Times New Roman" w:eastAsia="Times New Roman"/>
                <w:color w:val="44546A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4546A"/>
                <w:spacing w:val="0"/>
                <w:position w:val="0"/>
                <w:sz w:val="24"/>
                <w:shd w:fill="auto" w:val="clear"/>
              </w:rPr>
              <w:t xml:space="preserve">yhteiskunnan toimintaperiaatteita</w:t>
            </w:r>
          </w:p>
          <w:p>
            <w:pPr>
              <w:numPr>
                <w:ilvl w:val="0"/>
                <w:numId w:val="9"/>
              </w:numPr>
              <w:spacing w:before="0" w:after="0" w:line="240"/>
              <w:ind w:right="0" w:left="720" w:hanging="360"/>
              <w:jc w:val="left"/>
              <w:rPr>
                <w:rFonts w:ascii="Times New Roman" w:hAnsi="Times New Roman" w:cs="Times New Roman" w:eastAsia="Times New Roman"/>
                <w:color w:val="44546A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4546A"/>
                <w:spacing w:val="0"/>
                <w:position w:val="0"/>
                <w:sz w:val="24"/>
                <w:shd w:fill="auto" w:val="clear"/>
              </w:rPr>
              <w:t xml:space="preserve">hahmottamaan demokratian perustoimintaperiaatteet</w:t>
            </w:r>
          </w:p>
          <w:p>
            <w:pPr>
              <w:numPr>
                <w:ilvl w:val="0"/>
                <w:numId w:val="9"/>
              </w:numPr>
              <w:spacing w:before="0" w:after="0" w:line="240"/>
              <w:ind w:right="0" w:left="720" w:hanging="360"/>
              <w:jc w:val="left"/>
              <w:rPr>
                <w:rFonts w:ascii="Times New Roman" w:hAnsi="Times New Roman" w:cs="Times New Roman" w:eastAsia="Times New Roman"/>
                <w:color w:val="44546A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4546A"/>
                <w:spacing w:val="0"/>
                <w:position w:val="0"/>
                <w:sz w:val="24"/>
                <w:shd w:fill="auto" w:val="clear"/>
              </w:rPr>
              <w:t xml:space="preserve">ymmärtämään yhteiskunnallista päätöksentekoa</w:t>
            </w:r>
          </w:p>
          <w:p>
            <w:pPr>
              <w:numPr>
                <w:ilvl w:val="0"/>
                <w:numId w:val="9"/>
              </w:numPr>
              <w:spacing w:before="0" w:after="0" w:line="240"/>
              <w:ind w:right="0" w:left="720" w:hanging="360"/>
              <w:jc w:val="left"/>
              <w:rPr>
                <w:rFonts w:ascii="Times New Roman" w:hAnsi="Times New Roman" w:cs="Times New Roman" w:eastAsia="Times New Roman"/>
                <w:color w:val="44546A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4546A"/>
                <w:spacing w:val="0"/>
                <w:position w:val="0"/>
                <w:sz w:val="24"/>
                <w:shd w:fill="auto" w:val="clear"/>
              </w:rPr>
              <w:t xml:space="preserve">tarkastelemaan median roolia arjessa ja yhteiskunnassa</w:t>
            </w:r>
          </w:p>
          <w:p>
            <w:pPr>
              <w:numPr>
                <w:ilvl w:val="0"/>
                <w:numId w:val="9"/>
              </w:numPr>
              <w:spacing w:before="0" w:after="0" w:line="240"/>
              <w:ind w:right="0" w:left="720" w:hanging="36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4546A"/>
                <w:spacing w:val="0"/>
                <w:position w:val="0"/>
                <w:sz w:val="24"/>
                <w:shd w:fill="auto" w:val="clear"/>
              </w:rPr>
              <w:t xml:space="preserve">ymmärtämään omaa rahankäyttöä ja kulutusvalintojen perusteita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44546A"/>
          <w:spacing w:val="0"/>
          <w:position w:val="0"/>
          <w:sz w:val="24"/>
          <w:shd w:fill="auto" w:val="clear"/>
        </w:rPr>
      </w:pPr>
    </w:p>
    <w:tbl>
      <w:tblPr/>
      <w:tblGrid>
        <w:gridCol w:w="2388"/>
        <w:gridCol w:w="4182"/>
        <w:gridCol w:w="3802"/>
      </w:tblGrid>
      <w:tr>
        <w:trPr>
          <w:trHeight w:val="350" w:hRule="auto"/>
          <w:jc w:val="left"/>
        </w:trPr>
        <w:tc>
          <w:tcPr>
            <w:tcW w:w="10372" w:type="dxa"/>
            <w:gridSpan w:val="3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20" w:type="dxa"/>
              <w:right w:w="1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44546A"/>
                <w:spacing w:val="0"/>
                <w:position w:val="0"/>
                <w:sz w:val="28"/>
                <w:shd w:fill="auto" w:val="clear"/>
              </w:rPr>
              <w:t xml:space="preserve">Oppisisällöt</w:t>
            </w:r>
          </w:p>
        </w:tc>
      </w:tr>
      <w:tr>
        <w:trPr>
          <w:trHeight w:val="318" w:hRule="auto"/>
          <w:jc w:val="left"/>
        </w:trPr>
        <w:tc>
          <w:tcPr>
            <w:tcW w:w="238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20" w:type="dxa"/>
              <w:right w:w="1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44546A"/>
                <w:spacing w:val="0"/>
                <w:position w:val="0"/>
                <w:sz w:val="24"/>
                <w:shd w:fill="auto" w:val="clear"/>
              </w:rPr>
              <w:t xml:space="preserve">Osa-alue=sisältöalue</w:t>
            </w:r>
          </w:p>
        </w:tc>
        <w:tc>
          <w:tcPr>
            <w:tcW w:w="418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20" w:type="dxa"/>
              <w:right w:w="1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44546A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44546A"/>
                <w:spacing w:val="0"/>
                <w:position w:val="0"/>
                <w:sz w:val="24"/>
                <w:shd w:fill="auto" w:val="clear"/>
              </w:rPr>
              <w:t xml:space="preserve">Sisältö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380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20" w:type="dxa"/>
              <w:right w:w="1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44546A"/>
                <w:spacing w:val="0"/>
                <w:position w:val="0"/>
                <w:sz w:val="24"/>
                <w:shd w:fill="auto" w:val="clear"/>
              </w:rPr>
              <w:t xml:space="preserve">Laaja-alainen osaaminen</w:t>
            </w:r>
          </w:p>
        </w:tc>
      </w:tr>
      <w:tr>
        <w:trPr>
          <w:trHeight w:val="1354" w:hRule="auto"/>
          <w:jc w:val="left"/>
        </w:trPr>
        <w:tc>
          <w:tcPr>
            <w:tcW w:w="238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20" w:type="dxa"/>
              <w:right w:w="120" w:type="dxa"/>
            </w:tcMar>
            <w:vAlign w:val="top"/>
          </w:tcPr>
          <w:p>
            <w:pPr>
              <w:spacing w:before="0" w:after="0" w:line="240"/>
              <w:ind w:right="-12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4546A"/>
                <w:spacing w:val="0"/>
                <w:position w:val="0"/>
                <w:sz w:val="24"/>
                <w:shd w:fill="auto" w:val="clear"/>
              </w:rPr>
              <w:t xml:space="preserve">Yhteiskunta</w:t>
            </w:r>
          </w:p>
        </w:tc>
        <w:tc>
          <w:tcPr>
            <w:tcW w:w="418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20" w:type="dxa"/>
              <w:right w:w="1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4546A"/>
                <w:spacing w:val="0"/>
                <w:position w:val="0"/>
                <w:sz w:val="24"/>
                <w:shd w:fill="auto" w:val="clear"/>
              </w:rPr>
              <w:t xml:space="preserve">Yhteiskunnan jäsenenä toimiminen, yhteiskunnalliset oikeudelliset periaatteet, tasa-arvo, ihmisoikeudet, yhdenvertaisuus, yhteiskunnan arvot, Suomen eri kulttuurit ja vähemmistökulttuurit, maahanmuuttajat, turvallisuus, erilaiset yhteisöt</w:t>
            </w:r>
          </w:p>
        </w:tc>
        <w:tc>
          <w:tcPr>
            <w:tcW w:w="380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20" w:type="dxa"/>
              <w:right w:w="1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L2, L3, L4, L7</w:t>
            </w:r>
          </w:p>
        </w:tc>
      </w:tr>
      <w:tr>
        <w:trPr>
          <w:trHeight w:val="286" w:hRule="auto"/>
          <w:jc w:val="left"/>
        </w:trPr>
        <w:tc>
          <w:tcPr>
            <w:tcW w:w="238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20" w:type="dxa"/>
              <w:right w:w="1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4546A"/>
                <w:spacing w:val="0"/>
                <w:position w:val="0"/>
                <w:sz w:val="24"/>
                <w:shd w:fill="auto" w:val="clear"/>
              </w:rPr>
              <w:t xml:space="preserve">Yhteiskunnassa toimiminen</w:t>
            </w:r>
          </w:p>
        </w:tc>
        <w:tc>
          <w:tcPr>
            <w:tcW w:w="418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20" w:type="dxa"/>
              <w:right w:w="1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44546A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4546A"/>
                <w:spacing w:val="0"/>
                <w:position w:val="0"/>
                <w:sz w:val="24"/>
                <w:shd w:fill="auto" w:val="clear"/>
              </w:rPr>
              <w:t xml:space="preserve">Demokratia, päätöksenteko, yksilön vaikutusmahdollisuudet, demokraattinen vaikuttaminen, yhteiskunnassa toimiminen, oppilaan vaikutusmahdollisuudet peruskoulussa, oppilas erilaisissa yhteisöissä, oman mielipiteen ilmaiseminen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380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20" w:type="dxa"/>
              <w:right w:w="1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4546A"/>
                <w:spacing w:val="0"/>
                <w:position w:val="0"/>
                <w:sz w:val="24"/>
                <w:shd w:fill="auto" w:val="clear"/>
              </w:rPr>
              <w:t xml:space="preserve">L2, L6, L7</w:t>
            </w:r>
          </w:p>
        </w:tc>
      </w:tr>
      <w:tr>
        <w:trPr>
          <w:trHeight w:val="605" w:hRule="auto"/>
          <w:jc w:val="left"/>
        </w:trPr>
        <w:tc>
          <w:tcPr>
            <w:tcW w:w="238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20" w:type="dxa"/>
              <w:right w:w="1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44546A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4546A"/>
                <w:spacing w:val="0"/>
                <w:position w:val="0"/>
                <w:sz w:val="24"/>
                <w:shd w:fill="auto" w:val="clear"/>
              </w:rPr>
              <w:t xml:space="preserve">Median rooli </w:t>
              <w:tab/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4546A"/>
                <w:spacing w:val="0"/>
                <w:position w:val="0"/>
                <w:sz w:val="24"/>
                <w:shd w:fill="auto" w:val="clear"/>
              </w:rPr>
              <w:tab/>
            </w:r>
          </w:p>
        </w:tc>
        <w:tc>
          <w:tcPr>
            <w:tcW w:w="418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20" w:type="dxa"/>
              <w:right w:w="1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4546A"/>
                <w:spacing w:val="0"/>
                <w:position w:val="0"/>
                <w:sz w:val="24"/>
                <w:shd w:fill="auto" w:val="clear"/>
              </w:rPr>
              <w:t xml:space="preserve">Erilaiset mediat, turvallinen mediankäyttö, median luotettavuus, sosiaalinen media</w:t>
            </w:r>
          </w:p>
        </w:tc>
        <w:tc>
          <w:tcPr>
            <w:tcW w:w="380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20" w:type="dxa"/>
              <w:right w:w="1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4546A"/>
                <w:spacing w:val="0"/>
                <w:position w:val="0"/>
                <w:sz w:val="24"/>
                <w:shd w:fill="auto" w:val="clear"/>
              </w:rPr>
              <w:t xml:space="preserve">L2, L4, L6, L7</w:t>
            </w:r>
          </w:p>
        </w:tc>
      </w:tr>
      <w:tr>
        <w:trPr>
          <w:trHeight w:val="605" w:hRule="auto"/>
          <w:jc w:val="left"/>
        </w:trPr>
        <w:tc>
          <w:tcPr>
            <w:tcW w:w="238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20" w:type="dxa"/>
              <w:right w:w="120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Rahankäyttö</w:t>
            </w:r>
          </w:p>
        </w:tc>
        <w:tc>
          <w:tcPr>
            <w:tcW w:w="418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20" w:type="dxa"/>
              <w:right w:w="120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Taloudellinen toiminta ja sen merkitys, rahankäyttö ja ansaitseminen, säästäminen, kierrättäminen. </w:t>
            </w:r>
          </w:p>
        </w:tc>
        <w:tc>
          <w:tcPr>
            <w:tcW w:w="380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20" w:type="dxa"/>
              <w:right w:w="120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L3, L4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44546A"/>
          <w:spacing w:val="0"/>
          <w:position w:val="0"/>
          <w:sz w:val="24"/>
          <w:shd w:fill="auto" w:val="clear"/>
        </w:rPr>
      </w:pPr>
    </w:p>
    <w:tbl>
      <w:tblPr/>
      <w:tblGrid>
        <w:gridCol w:w="5804"/>
        <w:gridCol w:w="414"/>
      </w:tblGrid>
      <w:tr>
        <w:trPr>
          <w:trHeight w:val="1" w:hRule="atLeast"/>
          <w:jc w:val="left"/>
        </w:trPr>
        <w:tc>
          <w:tcPr>
            <w:tcW w:w="580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20" w:type="dxa"/>
              <w:right w:w="1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44546A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44546A"/>
                <w:spacing w:val="0"/>
                <w:position w:val="0"/>
                <w:sz w:val="28"/>
                <w:shd w:fill="auto" w:val="clear"/>
              </w:rPr>
              <w:t xml:space="preserve">                          Arviointi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44546A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44546A"/>
                <w:spacing w:val="0"/>
                <w:position w:val="0"/>
                <w:sz w:val="28"/>
                <w:shd w:fill="auto" w:val="clear"/>
              </w:rPr>
              <w:t xml:space="preserve">Arvioinnissa keskitytään:</w:t>
            </w:r>
          </w:p>
          <w:p>
            <w:pPr>
              <w:numPr>
                <w:ilvl w:val="0"/>
                <w:numId w:val="33"/>
              </w:numPr>
              <w:spacing w:before="0" w:after="0" w:line="240"/>
              <w:ind w:right="0" w:left="720" w:hanging="360"/>
              <w:jc w:val="left"/>
              <w:rPr>
                <w:rFonts w:ascii="Cambria" w:hAnsi="Cambria" w:cs="Cambria" w:eastAsia="Cambria"/>
                <w:b/>
                <w:color w:val="44546A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44546A"/>
                <w:spacing w:val="0"/>
                <w:position w:val="0"/>
                <w:sz w:val="28"/>
                <w:shd w:fill="auto" w:val="clear"/>
              </w:rPr>
              <w:t xml:space="preserve">tuntiaktiivisuus</w:t>
            </w:r>
          </w:p>
          <w:p>
            <w:pPr>
              <w:numPr>
                <w:ilvl w:val="0"/>
                <w:numId w:val="33"/>
              </w:numPr>
              <w:spacing w:before="0" w:after="0" w:line="240"/>
              <w:ind w:right="0" w:left="720" w:hanging="360"/>
              <w:jc w:val="left"/>
              <w:rPr>
                <w:rFonts w:ascii="Cambria" w:hAnsi="Cambria" w:cs="Cambria" w:eastAsia="Cambria"/>
                <w:b/>
                <w:color w:val="44546A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44546A"/>
                <w:spacing w:val="0"/>
                <w:position w:val="0"/>
                <w:sz w:val="28"/>
                <w:shd w:fill="auto" w:val="clear"/>
              </w:rPr>
              <w:t xml:space="preserve">kirjallinen ja suullinen tuottaminen</w:t>
            </w:r>
          </w:p>
          <w:p>
            <w:pPr>
              <w:numPr>
                <w:ilvl w:val="0"/>
                <w:numId w:val="33"/>
              </w:numPr>
              <w:spacing w:before="0" w:after="0" w:line="240"/>
              <w:ind w:right="0" w:left="720" w:hanging="360"/>
              <w:jc w:val="left"/>
              <w:rPr>
                <w:rFonts w:ascii="Cambria" w:hAnsi="Cambria" w:cs="Cambria" w:eastAsia="Cambria"/>
                <w:b/>
                <w:color w:val="44546A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44546A"/>
                <w:spacing w:val="0"/>
                <w:position w:val="0"/>
                <w:sz w:val="28"/>
                <w:shd w:fill="auto" w:val="clear"/>
              </w:rPr>
              <w:t xml:space="preserve">kirjalliset ja suulliset kokeet</w:t>
            </w:r>
          </w:p>
          <w:p>
            <w:pPr>
              <w:numPr>
                <w:ilvl w:val="0"/>
                <w:numId w:val="33"/>
              </w:numPr>
              <w:spacing w:before="0" w:after="0" w:line="240"/>
              <w:ind w:right="0" w:left="720" w:hanging="360"/>
              <w:jc w:val="left"/>
              <w:rPr>
                <w:rFonts w:ascii="Cambria" w:hAnsi="Cambria" w:cs="Cambria" w:eastAsia="Cambria"/>
                <w:b/>
                <w:color w:val="44546A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44546A"/>
                <w:spacing w:val="0"/>
                <w:position w:val="0"/>
                <w:sz w:val="28"/>
                <w:shd w:fill="auto" w:val="clear"/>
              </w:rPr>
              <w:t xml:space="preserve">yhteistoiminnallinen oppiminen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44546A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44546A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44546A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44546A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2589" w:hRule="auto"/>
          <w:jc w:val="left"/>
        </w:trPr>
        <w:tc>
          <w:tcPr>
            <w:tcW w:w="580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20" w:type="dxa"/>
              <w:right w:w="1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44546A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44546A"/>
                <w:spacing w:val="0"/>
                <w:position w:val="0"/>
                <w:sz w:val="24"/>
                <w:shd w:fill="auto" w:val="clear"/>
              </w:rPr>
              <w:t xml:space="preserve">Hyvä osaaminen (8)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44546A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mbria" w:hAnsi="Cambria" w:cs="Cambria" w:eastAsia="Cambria"/>
                <w:color w:val="44546A"/>
                <w:spacing w:val="0"/>
                <w:position w:val="0"/>
                <w:sz w:val="24"/>
                <w:shd w:fill="auto" w:val="clear"/>
              </w:rPr>
              <w:t xml:space="preserve">   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44546A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44546A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mbria" w:hAnsi="Cambria" w:cs="Cambria" w:eastAsia="Cambria"/>
                <w:color w:val="44546A"/>
                <w:spacing w:val="0"/>
                <w:position w:val="0"/>
                <w:sz w:val="24"/>
                <w:shd w:fill="auto" w:val="clear"/>
              </w:rPr>
              <w:t xml:space="preserve">.     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41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20" w:type="dxa"/>
              <w:right w:w="1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4546A"/>
                <w:spacing w:val="0"/>
                <w:position w:val="0"/>
                <w:sz w:val="24"/>
                <w:shd w:fill="auto" w:val="clear"/>
              </w:rPr>
              <w:t xml:space="preserve">  </w:t>
            </w:r>
          </w:p>
        </w:tc>
      </w:tr>
      <w:tr>
        <w:trPr>
          <w:trHeight w:val="65" w:hRule="auto"/>
          <w:jc w:val="left"/>
        </w:trPr>
        <w:tc>
          <w:tcPr>
            <w:tcW w:w="580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20" w:type="dxa"/>
              <w:right w:w="1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1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20" w:type="dxa"/>
              <w:right w:w="1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num w:numId="9">
    <w:abstractNumId w:val="6"/>
  </w:num>
  <w:num w:numId="33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