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000000"/>
          <w:spacing w:val="0"/>
          <w:position w:val="0"/>
          <w:sz w:val="22"/>
          <w:u w:val="single"/>
          <w:shd w:fill="auto" w:val="clear"/>
        </w:rPr>
      </w:pPr>
      <w:r>
        <w:rPr>
          <w:rFonts w:ascii="Cambria" w:hAnsi="Cambria" w:cs="Cambria" w:eastAsia="Cambria"/>
          <w:b/>
          <w:color w:val="44546A"/>
          <w:spacing w:val="0"/>
          <w:position w:val="0"/>
          <w:sz w:val="40"/>
          <w:u w:val="single"/>
          <w:shd w:fill="auto" w:val="clear"/>
        </w:rPr>
        <w:t xml:space="preserve">Elämänkatsomustieto </w:t>
      </w:r>
    </w:p>
    <w:p>
      <w:pPr>
        <w:tabs>
          <w:tab w:val="left" w:pos="851" w:leader="none"/>
        </w:tabs>
        <w:spacing w:before="0" w:after="0" w:line="240"/>
        <w:ind w:right="0" w:left="0" w:firstLine="0"/>
        <w:jc w:val="center"/>
        <w:rPr>
          <w:rFonts w:ascii="Calibri" w:hAnsi="Calibri" w:cs="Calibri" w:eastAsia="Calibri"/>
          <w:color w:val="000000"/>
          <w:spacing w:val="0"/>
          <w:position w:val="0"/>
          <w:sz w:val="22"/>
          <w:u w:val="single"/>
          <w:shd w:fill="auto" w:val="clear"/>
        </w:rPr>
      </w:pPr>
      <w:r>
        <w:rPr>
          <w:rFonts w:ascii="Cambria" w:hAnsi="Cambria" w:cs="Cambria" w:eastAsia="Cambria"/>
          <w:b/>
          <w:color w:val="44546A"/>
          <w:spacing w:val="0"/>
          <w:position w:val="0"/>
          <w:sz w:val="32"/>
          <w:u w:val="single"/>
          <w:shd w:fill="auto" w:val="clear"/>
        </w:rPr>
        <w:t xml:space="preserve">9. luokka</w:t>
      </w:r>
    </w:p>
    <w:p>
      <w:pPr>
        <w:spacing w:before="0" w:after="0" w:line="240"/>
        <w:ind w:right="0" w:left="0" w:firstLine="0"/>
        <w:jc w:val="left"/>
        <w:rPr>
          <w:rFonts w:ascii="Calibri" w:hAnsi="Calibri" w:cs="Calibri" w:eastAsia="Calibri"/>
          <w:color w:val="000000"/>
          <w:spacing w:val="0"/>
          <w:position w:val="0"/>
          <w:sz w:val="22"/>
          <w:u w:val="single"/>
          <w:shd w:fill="auto" w:val="clear"/>
        </w:rPr>
      </w:pPr>
    </w:p>
    <w:tbl>
      <w:tblPr/>
      <w:tblGrid>
        <w:gridCol w:w="10057"/>
      </w:tblGrid>
      <w:tr>
        <w:trPr>
          <w:trHeight w:val="1" w:hRule="atLeast"/>
          <w:jc w:val="left"/>
        </w:trPr>
        <w:tc>
          <w:tcPr>
            <w:tcW w:w="10057"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center"/>
              <w:rPr>
                <w:spacing w:val="0"/>
                <w:position w:val="0"/>
                <w:shd w:fill="auto" w:val="clear"/>
              </w:rPr>
            </w:pPr>
            <w:r>
              <w:rPr>
                <w:rFonts w:ascii="Cambria" w:hAnsi="Cambria" w:cs="Cambria" w:eastAsia="Cambria"/>
                <w:b/>
                <w:color w:val="44546A"/>
                <w:spacing w:val="0"/>
                <w:position w:val="0"/>
                <w:sz w:val="28"/>
                <w:u w:val="single"/>
                <w:shd w:fill="auto" w:val="clear"/>
              </w:rPr>
              <w:t xml:space="preserve">Tavoitteet</w:t>
            </w:r>
          </w:p>
        </w:tc>
      </w:tr>
      <w:tr>
        <w:trPr>
          <w:trHeight w:val="2100" w:hRule="auto"/>
          <w:jc w:val="left"/>
        </w:trPr>
        <w:tc>
          <w:tcPr>
            <w:tcW w:w="10057"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T4 ohjata oppilasta tuntemaan uskonnollisen ajattelun ja uskontokritiikin</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perusteita</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T5 ohjata oppilasta tuntemaan katsomusvapaus ihmisoikeutena sekä</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katsomusvapauden turvaamisen kansallisia ja kansainvälisiä keinoja</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T6 ohjata oppilasta hahmottamaan erilaisia katsomuksellisia ratkaisuja</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sekä niiden taustalla olevia yksilöllisiä ja yhteisöllisiä perusteita</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T7 kannustaa oppilasta maailman moninaisuuden ja kaikkien yhdenvertaisen</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kohtelun hyväksymiseen ja ymmärtämiseen</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T8 ohjata oppilasta huomaamaan eettisiä ulottuvuuksia elämästään ja</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ympäristöstään sekä kehittämään eettistä ajatteluaan</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T9 innostaa oppilasta pohtimaan omien valintojensa vaikutusta kestä-</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vään tulevaisuuteen paikallisesti ja globaalisti</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T10 ohjata oppilas tuntemaan ihmisarvon, ihmisoikeuksien ja ihmisten</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yhdenvertaisuuden merkitys ja eettinen perusta</w:t>
            </w:r>
          </w:p>
          <w:p>
            <w:pPr>
              <w:spacing w:before="0" w:after="0" w:line="240"/>
              <w:ind w:right="0" w:left="0" w:firstLine="0"/>
              <w:jc w:val="left"/>
              <w:rPr>
                <w:rFonts w:ascii="Calibri" w:hAnsi="Calibri" w:cs="Calibri" w:eastAsia="Calibri"/>
                <w:spacing w:val="0"/>
                <w:position w:val="0"/>
                <w:sz w:val="22"/>
                <w:shd w:fill="auto" w:val="clear"/>
              </w:rPr>
            </w:pPr>
          </w:p>
        </w:tc>
      </w:tr>
    </w:tbl>
    <w:p>
      <w:pPr>
        <w:spacing w:before="0" w:after="0" w:line="240"/>
        <w:ind w:right="0" w:left="0" w:firstLine="0"/>
        <w:jc w:val="left"/>
        <w:rPr>
          <w:rFonts w:ascii="Calibri" w:hAnsi="Calibri" w:cs="Calibri" w:eastAsia="Calibri"/>
          <w:color w:val="000000"/>
          <w:spacing w:val="0"/>
          <w:position w:val="0"/>
          <w:sz w:val="22"/>
          <w:u w:val="single"/>
          <w:shd w:fill="auto" w:val="clear"/>
        </w:rPr>
      </w:pPr>
    </w:p>
    <w:tbl>
      <w:tblPr/>
      <w:tblGrid>
        <w:gridCol w:w="2790"/>
        <w:gridCol w:w="4785"/>
        <w:gridCol w:w="2520"/>
      </w:tblGrid>
      <w:tr>
        <w:trPr>
          <w:trHeight w:val="340" w:hRule="auto"/>
          <w:jc w:val="left"/>
        </w:trPr>
        <w:tc>
          <w:tcPr>
            <w:tcW w:w="10095" w:type="dxa"/>
            <w:gridSpan w:val="3"/>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center"/>
              <w:rPr>
                <w:spacing w:val="0"/>
                <w:position w:val="0"/>
                <w:shd w:fill="auto" w:val="clear"/>
              </w:rPr>
            </w:pPr>
            <w:r>
              <w:rPr>
                <w:rFonts w:ascii="Cambria" w:hAnsi="Cambria" w:cs="Cambria" w:eastAsia="Cambria"/>
                <w:b/>
                <w:color w:val="44546A"/>
                <w:spacing w:val="0"/>
                <w:position w:val="0"/>
                <w:sz w:val="28"/>
                <w:u w:val="single"/>
                <w:shd w:fill="auto" w:val="clear"/>
              </w:rPr>
              <w:t xml:space="preserve">Oppisisällöt</w:t>
            </w:r>
          </w:p>
        </w:tc>
      </w:tr>
      <w:tr>
        <w:trPr>
          <w:trHeight w:val="300" w:hRule="auto"/>
          <w:jc w:val="left"/>
        </w:trPr>
        <w:tc>
          <w:tcPr>
            <w:tcW w:w="279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spacing w:val="0"/>
                <w:position w:val="0"/>
                <w:shd w:fill="auto" w:val="clear"/>
              </w:rPr>
            </w:pPr>
            <w:r>
              <w:rPr>
                <w:rFonts w:ascii="Cambria" w:hAnsi="Cambria" w:cs="Cambria" w:eastAsia="Cambria"/>
                <w:b/>
                <w:color w:val="44546A"/>
                <w:spacing w:val="0"/>
                <w:position w:val="0"/>
                <w:sz w:val="24"/>
                <w:u w:val="single"/>
                <w:shd w:fill="auto" w:val="clear"/>
              </w:rPr>
              <w:t xml:space="preserve">Osa-alue=sisältöalue</w:t>
            </w:r>
          </w:p>
        </w:tc>
        <w:tc>
          <w:tcPr>
            <w:tcW w:w="478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mbria" w:hAnsi="Cambria" w:cs="Cambria" w:eastAsia="Cambria"/>
                <w:b/>
                <w:color w:val="44546A"/>
                <w:spacing w:val="0"/>
                <w:position w:val="0"/>
                <w:sz w:val="24"/>
                <w:u w:val="single"/>
                <w:shd w:fill="auto" w:val="clear"/>
              </w:rPr>
              <w:t xml:space="preserve">Sisältö</w:t>
            </w:r>
          </w:p>
          <w:p>
            <w:pPr>
              <w:spacing w:before="0" w:after="0" w:line="240"/>
              <w:ind w:right="0" w:left="0" w:firstLine="0"/>
              <w:jc w:val="left"/>
              <w:rPr>
                <w:spacing w:val="0"/>
                <w:position w:val="0"/>
                <w:shd w:fill="auto" w:val="clear"/>
              </w:rPr>
            </w:pPr>
          </w:p>
        </w:tc>
        <w:tc>
          <w:tcPr>
            <w:tcW w:w="252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spacing w:val="0"/>
                <w:position w:val="0"/>
                <w:shd w:fill="auto" w:val="clear"/>
              </w:rPr>
            </w:pPr>
            <w:r>
              <w:rPr>
                <w:rFonts w:ascii="Cambria" w:hAnsi="Cambria" w:cs="Cambria" w:eastAsia="Cambria"/>
                <w:b/>
                <w:color w:val="44546A"/>
                <w:spacing w:val="0"/>
                <w:position w:val="0"/>
                <w:sz w:val="24"/>
                <w:u w:val="single"/>
                <w:shd w:fill="auto" w:val="clear"/>
              </w:rPr>
              <w:t xml:space="preserve">Laaja-alainen osaaminen</w:t>
            </w:r>
          </w:p>
        </w:tc>
      </w:tr>
      <w:tr>
        <w:trPr>
          <w:trHeight w:val="1340" w:hRule="auto"/>
          <w:jc w:val="left"/>
        </w:trPr>
        <w:tc>
          <w:tcPr>
            <w:tcW w:w="279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44546A"/>
                <w:spacing w:val="0"/>
                <w:position w:val="0"/>
                <w:sz w:val="24"/>
                <w:u w:val="single"/>
                <w:shd w:fill="auto" w:val="clear"/>
              </w:rPr>
              <w:t xml:space="preserve">S3 Ihmisoikeudet ja kestävä tulevaisuus</w:t>
            </w:r>
          </w:p>
        </w:tc>
        <w:tc>
          <w:tcPr>
            <w:tcW w:w="478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FFFFFF" w:val="clear"/>
              </w:rPr>
              <w:t xml:space="preserve">-Perehdytään ihmisarvoon, ihmisoikeuksiin ja ihmisten väliseen yhdenvertaisuuteen. Tutustutaan ihmisoikeuksien kehitykseen ja ihmisoikeusloukkauksiin, kuten holokaustiin. -Tutustutaan erilaisiin käsityksiin ihmisen ja luonnon suhteesta, esim. humanistiseen, utilistiseen, mystiseen ja luontokeskeiseen. -Perehdytään luonnon ja yhteiskunnan kestävän tulevaisuuden mahdollisuuksiin sekä ympäristöetiikkaan liittyviin kysymyksiin kuten eläinten oikeuksiin. </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FFFFFF" w:val="clear"/>
              </w:rPr>
              <w:t xml:space="preserve">-Pohditaan, miten voidaan toimia vastuullisesti kestävän tulevaisuuden hyväksi.</w:t>
            </w: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KESKEISIÄ</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KÄSITTEITÄ</w:t>
            </w: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-ihmisarvo, ihmisoikeus, oikeudenmukaisuus, vastuullisuus</w:t>
            </w: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PAIKALLISUUS</w:t>
            </w: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spacing w:val="0"/>
                <w:position w:val="0"/>
              </w:rPr>
            </w:pPr>
            <w:r>
              <w:rPr>
                <w:rFonts w:ascii="Times New Roman" w:hAnsi="Times New Roman" w:cs="Times New Roman" w:eastAsia="Times New Roman"/>
                <w:color w:val="44546A"/>
                <w:spacing w:val="0"/>
                <w:position w:val="0"/>
                <w:sz w:val="24"/>
                <w:u w:val="single"/>
                <w:shd w:fill="auto" w:val="clear"/>
              </w:rPr>
              <w:t xml:space="preserve">-paikallinen kulttuuri -tunturialue, matkailu ja poronhoito, saamelaiskulttuuri- on hyvä huomioida opetuksessa</w:t>
            </w:r>
          </w:p>
        </w:tc>
        <w:tc>
          <w:tcPr>
            <w:tcW w:w="252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L1= Ajattelu ja oppimaan oppiminen L2= Kulttuurinen osaaminen, vuorovaikutus ja ilmaisu </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L3= Itsestä huolehtiminen ja arjen taidot </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L4= Monilukutaito</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L5= Tieto- ja viestintäteknologinen osaaminen  </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L6= Työelämätaidot ja yrittäjyys</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L7= Osallistuminen, vaikuttaminen ja kestävän tulevaisuuden rakentaminen</w:t>
            </w: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spacing w:val="0"/>
                <w:position w:val="0"/>
                <w:shd w:fill="auto" w:val="clear"/>
              </w:rPr>
            </w:pPr>
          </w:p>
        </w:tc>
      </w:tr>
      <w:tr>
        <w:trPr>
          <w:trHeight w:val="280" w:hRule="auto"/>
          <w:jc w:val="left"/>
        </w:trPr>
        <w:tc>
          <w:tcPr>
            <w:tcW w:w="279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spacing w:val="0"/>
                <w:position w:val="0"/>
                <w:sz w:val="22"/>
                <w:shd w:fill="auto" w:val="clear"/>
              </w:rPr>
            </w:pPr>
          </w:p>
        </w:tc>
        <w:tc>
          <w:tcPr>
            <w:tcW w:w="478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00" w:hRule="auto"/>
          <w:jc w:val="left"/>
        </w:trPr>
        <w:tc>
          <w:tcPr>
            <w:tcW w:w="279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8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40" w:hRule="auto"/>
          <w:jc w:val="left"/>
        </w:trPr>
        <w:tc>
          <w:tcPr>
            <w:tcW w:w="279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8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40" w:hRule="auto"/>
          <w:jc w:val="left"/>
        </w:trPr>
        <w:tc>
          <w:tcPr>
            <w:tcW w:w="279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8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40" w:hRule="auto"/>
          <w:jc w:val="left"/>
        </w:trPr>
        <w:tc>
          <w:tcPr>
            <w:tcW w:w="279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8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Calibri" w:hAnsi="Calibri" w:cs="Calibri" w:eastAsia="Calibri"/>
          <w:color w:val="000000"/>
          <w:spacing w:val="0"/>
          <w:position w:val="0"/>
          <w:sz w:val="22"/>
          <w:u w:val="single"/>
          <w:shd w:fill="auto" w:val="clear"/>
        </w:rPr>
      </w:pPr>
    </w:p>
    <w:tbl>
      <w:tblPr/>
      <w:tblGrid>
        <w:gridCol w:w="5804"/>
        <w:gridCol w:w="414"/>
      </w:tblGrid>
      <w:tr>
        <w:trPr>
          <w:trHeight w:val="1" w:hRule="atLeast"/>
          <w:jc w:val="left"/>
        </w:trPr>
        <w:tc>
          <w:tcPr>
            <w:tcW w:w="580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mbria" w:hAnsi="Cambria" w:cs="Cambria" w:eastAsia="Cambria"/>
                <w:b/>
                <w:color w:val="44546A"/>
                <w:spacing w:val="0"/>
                <w:position w:val="0"/>
                <w:sz w:val="28"/>
                <w:u w:val="single"/>
                <w:shd w:fill="auto" w:val="clear"/>
              </w:rPr>
              <w:t xml:space="preserve">                          Arviointi</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Elämänkatsomustiedon arviointi perustuu työskentelyn havainnointiin ja keskusteluihin ja argumentaatioon sekä oppilaiden monimuotoisten tuotosten tarkasteluun. Tuotosten sisällön lisäksi arvioidaan opiskeluprosessia ja työn eri vaiheita kuten kysymysten muodostamista, perusteluiden rakentamista, aiheen rajaamista, tiedonhakua, näkökulmien perustelemista, käsitteiden käyttöä, ilmaisun selkeyttä ja työn loppuun saattamista. Oppilaiden itsearviointia ja vertaispalautetta käytetään arvioinnin tukena. </w:t>
            </w: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spacing w:val="0"/>
                <w:position w:val="0"/>
                <w:shd w:fill="auto" w:val="clear"/>
              </w:rPr>
            </w:pPr>
          </w:p>
        </w:tc>
      </w:tr>
      <w:tr>
        <w:trPr>
          <w:trHeight w:val="2580" w:hRule="auto"/>
          <w:jc w:val="left"/>
        </w:trPr>
        <w:tc>
          <w:tcPr>
            <w:tcW w:w="580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mbria" w:hAnsi="Cambria" w:cs="Cambria" w:eastAsia="Cambria"/>
                <w:b/>
                <w:color w:val="44546A"/>
                <w:spacing w:val="0"/>
                <w:position w:val="0"/>
                <w:sz w:val="24"/>
                <w:u w:val="single"/>
                <w:shd w:fill="auto" w:val="clear"/>
              </w:rPr>
              <w:t xml:space="preserve">Hyvä osaaminen (8)</w:t>
            </w:r>
          </w:p>
          <w:p>
            <w:pPr>
              <w:spacing w:before="0" w:after="0" w:line="240"/>
              <w:ind w:right="0" w:left="0" w:firstLine="0"/>
              <w:jc w:val="left"/>
              <w:rPr>
                <w:spacing w:val="0"/>
                <w:position w:val="0"/>
                <w:shd w:fill="auto" w:val="clear"/>
              </w:rPr>
            </w:pPr>
            <w:r>
              <w:rPr>
                <w:rFonts w:ascii="Cambria" w:hAnsi="Cambria" w:cs="Cambria" w:eastAsia="Cambria"/>
                <w:color w:val="44546A"/>
                <w:spacing w:val="0"/>
                <w:position w:val="0"/>
                <w:sz w:val="24"/>
                <w:u w:val="single"/>
                <w:shd w:fill="auto" w:val="clear"/>
              </w:rPr>
              <w:t xml:space="preserve">otetaan suoraan valtakunnan opsista                                     </w:t>
            </w:r>
          </w:p>
        </w:tc>
        <w:tc>
          <w:tcPr>
            <w:tcW w:w="41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44546A"/>
                <w:spacing w:val="0"/>
                <w:position w:val="0"/>
                <w:sz w:val="24"/>
                <w:u w:val="single"/>
                <w:shd w:fill="auto" w:val="clear"/>
              </w:rPr>
              <w:t xml:space="preserve">  </w:t>
            </w:r>
          </w:p>
        </w:tc>
      </w:tr>
      <w:tr>
        <w:trPr>
          <w:trHeight w:val="60" w:hRule="auto"/>
          <w:jc w:val="left"/>
        </w:trPr>
        <w:tc>
          <w:tcPr>
            <w:tcW w:w="580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1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59"/>
        <w:ind w:right="0" w:left="0" w:firstLine="0"/>
        <w:jc w:val="left"/>
        <w:rPr>
          <w:rFonts w:ascii="Calibri" w:hAnsi="Calibri" w:cs="Calibri" w:eastAsia="Calibri"/>
          <w:color w:val="000000"/>
          <w:spacing w:val="0"/>
          <w:position w:val="0"/>
          <w:sz w:val="22"/>
          <w:u w:val="single"/>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