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40"/>
          <w:u w:val="single"/>
          <w:shd w:fill="auto" w:val="clear"/>
        </w:rPr>
        <w:t xml:space="preserve">Elämänkatsomustieto </w:t>
      </w:r>
    </w:p>
    <w:p>
      <w:pPr>
        <w:tabs>
          <w:tab w:val="left" w:pos="851" w:leader="none"/>
        </w:tabs>
        <w:spacing w:before="0" w:after="0" w:line="240"/>
        <w:ind w:right="0" w:left="0" w:firstLine="0"/>
        <w:jc w:val="center"/>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32"/>
          <w:u w:val="single"/>
          <w:shd w:fill="auto" w:val="clear"/>
        </w:rPr>
        <w:t xml:space="preserve">8. luokka</w:t>
      </w:r>
    </w:p>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10057"/>
      </w:tblGrid>
      <w:tr>
        <w:trPr>
          <w:trHeight w:val="1" w:hRule="atLeast"/>
          <w:jc w:val="left"/>
        </w:trPr>
        <w:tc>
          <w:tcPr>
            <w:tcW w:w="10057"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center"/>
              <w:rPr>
                <w:spacing w:val="0"/>
                <w:position w:val="0"/>
                <w:shd w:fill="auto" w:val="clear"/>
              </w:rPr>
            </w:pPr>
            <w:r>
              <w:rPr>
                <w:rFonts w:ascii="Cambria" w:hAnsi="Cambria" w:cs="Cambria" w:eastAsia="Cambria"/>
                <w:b/>
                <w:color w:val="44546A"/>
                <w:spacing w:val="0"/>
                <w:position w:val="0"/>
                <w:sz w:val="28"/>
                <w:u w:val="single"/>
                <w:shd w:fill="auto" w:val="clear"/>
              </w:rPr>
              <w:t xml:space="preserve">Tavoitteet</w:t>
            </w:r>
          </w:p>
        </w:tc>
      </w:tr>
      <w:tr>
        <w:trPr>
          <w:trHeight w:val="2100" w:hRule="auto"/>
          <w:jc w:val="left"/>
        </w:trPr>
        <w:tc>
          <w:tcPr>
            <w:tcW w:w="10057"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345A8A"/>
                <w:spacing w:val="0"/>
                <w:position w:val="0"/>
                <w:sz w:val="24"/>
                <w:u w:val="single"/>
                <w:shd w:fill="auto" w:val="clear"/>
              </w:rPr>
              <w:t xml:space="preserve">T6 ohjata oppilasta hahmottamaan erilaisia katsomuksellisia ratkaisuja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345A8A"/>
                <w:spacing w:val="0"/>
                <w:position w:val="0"/>
                <w:sz w:val="24"/>
                <w:u w:val="single"/>
                <w:shd w:fill="auto" w:val="clear"/>
              </w:rPr>
              <w:t xml:space="preserve">sekä niiden taustalla olevia yksilöllisiä ja yhteisöllisiä perusteita</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345A8A"/>
                <w:spacing w:val="0"/>
                <w:position w:val="0"/>
                <w:sz w:val="24"/>
                <w:u w:val="single"/>
                <w:shd w:fill="auto" w:val="clear"/>
              </w:rPr>
              <w:t xml:space="preserve">T7 kannustaa oppilasta maailman moninaisuuden ja kaikkien yhdenvertaisen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345A8A"/>
                <w:spacing w:val="0"/>
                <w:position w:val="0"/>
                <w:sz w:val="24"/>
                <w:u w:val="single"/>
                <w:shd w:fill="auto" w:val="clear"/>
              </w:rPr>
              <w:t xml:space="preserve">kohtelun hyväksymiseen ja ymmärtämiseen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345A8A"/>
                <w:spacing w:val="0"/>
                <w:position w:val="0"/>
                <w:sz w:val="24"/>
                <w:u w:val="single"/>
                <w:shd w:fill="auto" w:val="clear"/>
              </w:rPr>
              <w:t xml:space="preserve">T8 ohjata oppilasta kehittämään eettistä ajatteluaan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345A8A"/>
                <w:spacing w:val="0"/>
                <w:position w:val="0"/>
                <w:sz w:val="24"/>
                <w:u w:val="single"/>
                <w:shd w:fill="auto" w:val="clear"/>
              </w:rPr>
              <w:t xml:space="preserve">T9 innostaa oppilasta pohtimaan omien valintojensa vaikutusta kestävään tulevaisuuteen paikallisesti ja globaalisti</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345A8A"/>
                <w:spacing w:val="0"/>
                <w:position w:val="0"/>
                <w:sz w:val="24"/>
                <w:u w:val="single"/>
                <w:shd w:fill="auto" w:val="clear"/>
              </w:rPr>
              <w:t xml:space="preserve">T10 ohjata oppilas tuntemaan ihmisarvon, ihmisoikeuksien ja ihmisten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345A8A"/>
                <w:spacing w:val="0"/>
                <w:position w:val="0"/>
                <w:sz w:val="24"/>
                <w:u w:val="single"/>
                <w:shd w:fill="auto" w:val="clear"/>
              </w:rPr>
              <w:t xml:space="preserve">yhdenvertaisuuden merkitys ja eettinen perusta</w:t>
            </w: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2835"/>
        <w:gridCol w:w="4710"/>
        <w:gridCol w:w="2550"/>
      </w:tblGrid>
      <w:tr>
        <w:trPr>
          <w:trHeight w:val="340" w:hRule="auto"/>
          <w:jc w:val="left"/>
        </w:trPr>
        <w:tc>
          <w:tcPr>
            <w:tcW w:w="10095" w:type="dxa"/>
            <w:gridSpan w:val="3"/>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center"/>
              <w:rPr>
                <w:spacing w:val="0"/>
                <w:position w:val="0"/>
                <w:shd w:fill="auto" w:val="clear"/>
              </w:rPr>
            </w:pPr>
            <w:r>
              <w:rPr>
                <w:rFonts w:ascii="Cambria" w:hAnsi="Cambria" w:cs="Cambria" w:eastAsia="Cambria"/>
                <w:b/>
                <w:color w:val="44546A"/>
                <w:spacing w:val="0"/>
                <w:position w:val="0"/>
                <w:sz w:val="28"/>
                <w:u w:val="single"/>
                <w:shd w:fill="auto" w:val="clear"/>
              </w:rPr>
              <w:t xml:space="preserve">Oppisisällöt</w:t>
            </w:r>
          </w:p>
        </w:tc>
      </w:tr>
      <w:tr>
        <w:trPr>
          <w:trHeight w:val="300" w:hRule="auto"/>
          <w:jc w:val="left"/>
        </w:trPr>
        <w:tc>
          <w:tcPr>
            <w:tcW w:w="283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Cambria" w:hAnsi="Cambria" w:cs="Cambria" w:eastAsia="Cambria"/>
                <w:b/>
                <w:color w:val="44546A"/>
                <w:spacing w:val="0"/>
                <w:position w:val="0"/>
                <w:sz w:val="24"/>
                <w:u w:val="single"/>
                <w:shd w:fill="auto" w:val="clear"/>
              </w:rPr>
              <w:t xml:space="preserve">Osa-alue=sisältöalue</w:t>
            </w:r>
          </w:p>
        </w:tc>
        <w:tc>
          <w:tcPr>
            <w:tcW w:w="471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4"/>
                <w:u w:val="single"/>
                <w:shd w:fill="auto" w:val="clear"/>
              </w:rPr>
              <w:t xml:space="preserve">Sisältö</w:t>
            </w:r>
          </w:p>
          <w:p>
            <w:pPr>
              <w:spacing w:before="0" w:after="0" w:line="240"/>
              <w:ind w:right="0" w:left="0" w:firstLine="0"/>
              <w:jc w:val="left"/>
              <w:rPr>
                <w:spacing w:val="0"/>
                <w:position w:val="0"/>
                <w:shd w:fill="auto" w:val="clear"/>
              </w:rPr>
            </w:pPr>
          </w:p>
        </w:tc>
        <w:tc>
          <w:tcPr>
            <w:tcW w:w="255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Cambria" w:hAnsi="Cambria" w:cs="Cambria" w:eastAsia="Cambria"/>
                <w:b/>
                <w:color w:val="44546A"/>
                <w:spacing w:val="0"/>
                <w:position w:val="0"/>
                <w:sz w:val="24"/>
                <w:u w:val="single"/>
                <w:shd w:fill="auto" w:val="clear"/>
              </w:rPr>
              <w:t xml:space="preserve">Laaja-alainen osaaminen</w:t>
            </w:r>
          </w:p>
        </w:tc>
      </w:tr>
      <w:tr>
        <w:trPr>
          <w:trHeight w:val="1340" w:hRule="auto"/>
          <w:jc w:val="left"/>
        </w:trPr>
        <w:tc>
          <w:tcPr>
            <w:tcW w:w="283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spacing w:val="0"/>
                <w:position w:val="0"/>
                <w:shd w:fill="auto" w:val="clear"/>
              </w:rPr>
            </w:pPr>
            <w:r>
              <w:rPr>
                <w:rFonts w:ascii="Times New Roman" w:hAnsi="Times New Roman" w:cs="Times New Roman" w:eastAsia="Times New Roman"/>
                <w:color w:val="44546A"/>
                <w:spacing w:val="0"/>
                <w:position w:val="0"/>
                <w:sz w:val="24"/>
                <w:u w:val="single"/>
                <w:shd w:fill="auto" w:val="clear"/>
              </w:rPr>
              <w:t xml:space="preserve">S2 Etiikan perusteita</w:t>
            </w:r>
          </w:p>
        </w:tc>
        <w:tc>
          <w:tcPr>
            <w:tcW w:w="471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16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-Tutustutaan etiikan peruskysymyksiin ja pääsuuntiin. </w:t>
            </w:r>
          </w:p>
          <w:p>
            <w:pPr>
              <w:spacing w:before="0" w:after="16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 Pohditaan hyvän elämän lähtökohtia ja yleisinhimillisiä arvoja: totuus, hyvyys, kauneus ja oikeudenmukaisuus. </w:t>
            </w:r>
          </w:p>
          <w:p>
            <w:pPr>
              <w:spacing w:before="0" w:after="16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 Perehdytään teon eettisen arvioinnin näkökulmiin, kuten teon tahallisuuteen, tekijän tarkoitukseen ja teon seurauksiin. </w:t>
            </w:r>
          </w:p>
          <w:p>
            <w:pPr>
              <w:spacing w:before="0" w:after="16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-Sovelletaan eettistä lähestymistapaa ja käsitteistöä nuorten arjessa esiintyviin tilanteisiin. </w:t>
            </w:r>
          </w:p>
          <w:p>
            <w:pPr>
              <w:spacing w:before="0" w:after="16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-Perehdytään sosiaalisessa mediassa ja muissa tiedotusvälineissä esiintyviin ajankohtaisiin kysymyksiin eettisestä näkökulmasta. </w:t>
            </w:r>
          </w:p>
          <w:p>
            <w:pPr>
              <w:spacing w:before="0" w:after="16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-Tarkastellaan kulttuurista moninaisuutta rikkautena, oikeutena ja eettisenä kysymyksenä.</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FFFFFF" w:val="clear"/>
              </w:rPr>
              <w:t xml:space="preserve">KESKEISIÄ</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KÄSITTEITÄ</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-etiikka, moraali, arvo</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PAIKALLISUUS</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-Keskusteluissa on hyvä huomioida paikalliset ajankohtaiset ilmiöt ja lappilainen kulttuuriperintö.</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-Myös luonnonsuojelu, erityisesti tunturialueen suojelu ja hyödyntäminen sekä porotalous ovat paikallisella tasolla huomionarvoisia eettisiä keskustelunaiheita. Valittuja aiheita tarkastellaan eri etiikan näkökulmista.</w:t>
            </w: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spacing w:val="0"/>
                <w:position w:val="0"/>
              </w:rPr>
            </w:pPr>
          </w:p>
        </w:tc>
        <w:tc>
          <w:tcPr>
            <w:tcW w:w="255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L1= Ajattelu ja oppimaan oppiminen</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L3= Itsestä huolehtiminen ja arjen taidot </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L4= Monilukutaito</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L5= Tieto- ja viestintäteknologinen osaaminen  </w:t>
            </w:r>
          </w:p>
          <w:p>
            <w:pPr>
              <w:spacing w:before="0" w:after="0" w:line="240"/>
              <w:ind w:right="0" w:left="0" w:firstLine="0"/>
              <w:jc w:val="left"/>
              <w:rPr>
                <w:spacing w:val="0"/>
                <w:position w:val="0"/>
                <w:shd w:fill="auto" w:val="clear"/>
              </w:rPr>
            </w:pPr>
          </w:p>
        </w:tc>
      </w:tr>
      <w:tr>
        <w:trPr>
          <w:trHeight w:val="280" w:hRule="auto"/>
          <w:jc w:val="left"/>
        </w:trPr>
        <w:tc>
          <w:tcPr>
            <w:tcW w:w="283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1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600" w:hRule="auto"/>
          <w:jc w:val="left"/>
        </w:trPr>
        <w:tc>
          <w:tcPr>
            <w:tcW w:w="283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1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z w:val="22"/>
                <w:shd w:fill="auto" w:val="clear"/>
              </w:rPr>
            </w:pPr>
          </w:p>
        </w:tc>
      </w:tr>
      <w:tr>
        <w:trPr>
          <w:trHeight w:val="140" w:hRule="auto"/>
          <w:jc w:val="left"/>
        </w:trPr>
        <w:tc>
          <w:tcPr>
            <w:tcW w:w="283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1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0" w:hRule="auto"/>
          <w:jc w:val="left"/>
        </w:trPr>
        <w:tc>
          <w:tcPr>
            <w:tcW w:w="283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1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400" w:hRule="auto"/>
          <w:jc w:val="left"/>
        </w:trPr>
        <w:tc>
          <w:tcPr>
            <w:tcW w:w="2835"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1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50"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Calibri" w:hAnsi="Calibri" w:cs="Calibri" w:eastAsia="Calibri"/>
          <w:color w:val="000000"/>
          <w:spacing w:val="0"/>
          <w:position w:val="0"/>
          <w:sz w:val="22"/>
          <w:u w:val="single"/>
          <w:shd w:fill="auto" w:val="clear"/>
        </w:rPr>
      </w:pPr>
    </w:p>
    <w:tbl>
      <w:tblPr/>
      <w:tblGrid>
        <w:gridCol w:w="5804"/>
        <w:gridCol w:w="414"/>
      </w:tblGrid>
      <w:tr>
        <w:trPr>
          <w:trHeight w:val="1" w:hRule="atLeast"/>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8"/>
                <w:u w:val="single"/>
                <w:shd w:fill="auto" w:val="clear"/>
              </w:rPr>
              <w:t xml:space="preserve">                          Arviointi</w:t>
            </w:r>
          </w:p>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Times New Roman" w:hAnsi="Times New Roman" w:cs="Times New Roman" w:eastAsia="Times New Roman"/>
                <w:color w:val="44546A"/>
                <w:spacing w:val="0"/>
                <w:position w:val="0"/>
                <w:sz w:val="24"/>
                <w:u w:val="single"/>
                <w:shd w:fill="auto" w:val="clear"/>
              </w:rPr>
              <w:t xml:space="preserve">Elämänkatsomustiedon arviointi perustuu työskentelyn havainnointiin ja keskusteluihin ja argumentaatioon sekä oppilaiden monimuotoisten tuotosten tarkasteluun. Tuotosten sisällön lisäksi arvioidaan opiskeluprosessia ja työn eri vaiheita kuten kysymysten muodostamista, perusteluiden rakentamista, aiheen rajaamista, tiedonhakua, näkökulmien perustelemista, käsitteiden käyttöä, ilmaisun selkeyttä ja työn loppuun saattamista. Oppilaiden itsearviointia ja vertaispalautetta käytetään arvioinnin tukena. </w:t>
            </w:r>
          </w:p>
          <w:p>
            <w:pPr>
              <w:spacing w:before="0" w:after="0" w:line="240"/>
              <w:ind w:right="0" w:left="0" w:firstLine="0"/>
              <w:jc w:val="left"/>
              <w:rPr>
                <w:spacing w:val="0"/>
                <w:position w:val="0"/>
                <w:shd w:fill="auto" w:val="clear"/>
              </w:rPr>
            </w:pPr>
          </w:p>
        </w:tc>
      </w:tr>
      <w:tr>
        <w:trPr>
          <w:trHeight w:val="2580" w:hRule="auto"/>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000000"/>
                <w:spacing w:val="0"/>
                <w:position w:val="0"/>
                <w:sz w:val="22"/>
                <w:u w:val="single"/>
                <w:shd w:fill="auto" w:val="clear"/>
              </w:rPr>
            </w:pPr>
            <w:r>
              <w:rPr>
                <w:rFonts w:ascii="Cambria" w:hAnsi="Cambria" w:cs="Cambria" w:eastAsia="Cambria"/>
                <w:b/>
                <w:color w:val="44546A"/>
                <w:spacing w:val="0"/>
                <w:position w:val="0"/>
                <w:sz w:val="24"/>
                <w:u w:val="single"/>
                <w:shd w:fill="auto" w:val="clear"/>
              </w:rPr>
              <w:t xml:space="preserve">Hyvä osaaminen (8)</w:t>
            </w:r>
          </w:p>
          <w:p>
            <w:pPr>
              <w:spacing w:before="0" w:after="0" w:line="240"/>
              <w:ind w:right="0" w:left="0" w:firstLine="0"/>
              <w:jc w:val="left"/>
              <w:rPr>
                <w:spacing w:val="0"/>
                <w:position w:val="0"/>
                <w:shd w:fill="auto" w:val="clear"/>
              </w:rPr>
            </w:pPr>
            <w:r>
              <w:rPr>
                <w:rFonts w:ascii="Cambria" w:hAnsi="Cambria" w:cs="Cambria" w:eastAsia="Cambria"/>
                <w:color w:val="44546A"/>
                <w:spacing w:val="0"/>
                <w:position w:val="0"/>
                <w:sz w:val="24"/>
                <w:u w:val="single"/>
                <w:shd w:fill="auto" w:val="clear"/>
              </w:rPr>
              <w:t xml:space="preserve">otetaan suoraan valtakunnan opsista                                     </w:t>
            </w:r>
          </w:p>
        </w:tc>
        <w:tc>
          <w:tcPr>
            <w:tcW w:w="41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44546A"/>
                <w:spacing w:val="0"/>
                <w:position w:val="0"/>
                <w:sz w:val="24"/>
                <w:u w:val="single"/>
                <w:shd w:fill="auto" w:val="clear"/>
              </w:rPr>
              <w:t xml:space="preserve">  </w:t>
            </w:r>
          </w:p>
        </w:tc>
      </w:tr>
      <w:tr>
        <w:trPr>
          <w:trHeight w:val="60" w:hRule="auto"/>
          <w:jc w:val="left"/>
        </w:trPr>
        <w:tc>
          <w:tcPr>
            <w:tcW w:w="580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14" w:type="dxa"/>
            <w:tcBorders>
              <w:top w:val="single" w:color="000000" w:sz="6"/>
              <w:left w:val="single" w:color="000000" w:sz="6"/>
              <w:bottom w:val="single" w:color="000000" w:sz="6"/>
              <w:right w:val="single" w:color="000000" w:sz="6"/>
            </w:tcBorders>
            <w:shd w:color="000000" w:fill="ffffff" w:val="clear"/>
            <w:tcMar>
              <w:left w:w="120" w:type="dxa"/>
              <w:right w:w="12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Calibri" w:hAnsi="Calibri" w:cs="Calibri" w:eastAsia="Calibri"/>
          <w:color w:val="000000"/>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