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2160" w:firstLine="72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Cambria" w:hAnsi="Cambria" w:cs="Cambria" w:eastAsia="Cambria"/>
          <w:b/>
          <w:color w:val="000000"/>
          <w:spacing w:val="0"/>
          <w:position w:val="0"/>
          <w:sz w:val="40"/>
          <w:u w:val="single"/>
          <w:shd w:fill="auto" w:val="clear"/>
        </w:rPr>
        <w:t xml:space="preserve">Elämänkatsomustieto </w: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Cambria" w:hAnsi="Cambria" w:cs="Cambria" w:eastAsia="Cambria"/>
          <w:b/>
          <w:color w:val="000000"/>
          <w:spacing w:val="0"/>
          <w:position w:val="0"/>
          <w:sz w:val="32"/>
          <w:u w:val="single"/>
          <w:shd w:fill="auto" w:val="clear"/>
        </w:rPr>
        <w:t xml:space="preserve">2. luokka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u w:val="single"/>
          <w:shd w:fill="auto" w:val="clear"/>
        </w:rPr>
      </w:pPr>
    </w:p>
    <w:tbl>
      <w:tblPr/>
      <w:tblGrid>
        <w:gridCol w:w="10057"/>
      </w:tblGrid>
      <w:tr>
        <w:trPr>
          <w:trHeight w:val="1" w:hRule="atLeast"/>
          <w:jc w:val="left"/>
        </w:trPr>
        <w:tc>
          <w:tcPr>
            <w:tcW w:w="10057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000000"/>
                <w:spacing w:val="0"/>
                <w:position w:val="0"/>
                <w:sz w:val="28"/>
                <w:u w:val="single"/>
                <w:shd w:fill="auto" w:val="clear"/>
              </w:rPr>
              <w:t xml:space="preserve">Tavoitteet</w:t>
            </w:r>
          </w:p>
        </w:tc>
      </w:tr>
      <w:tr>
        <w:trPr>
          <w:trHeight w:val="2100" w:hRule="auto"/>
          <w:jc w:val="left"/>
        </w:trPr>
        <w:tc>
          <w:tcPr>
            <w:tcW w:w="10057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numPr>
                <w:ilvl w:val="0"/>
                <w:numId w:val="8"/>
              </w:numPr>
              <w:spacing w:before="0" w:after="0" w:line="288"/>
              <w:ind w:right="0" w:left="720" w:hanging="36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kehittää oppilaiden yhteistyö- ja vuorovaikutustaitoja</w:t>
            </w:r>
          </w:p>
          <w:p>
            <w:pPr>
              <w:numPr>
                <w:ilvl w:val="0"/>
                <w:numId w:val="8"/>
              </w:numPr>
              <w:spacing w:before="0" w:after="0" w:line="288"/>
              <w:ind w:right="0" w:left="720" w:hanging="36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kehittää oppilaan oppimisen taitoja</w:t>
            </w:r>
          </w:p>
          <w:p>
            <w:pPr>
              <w:numPr>
                <w:ilvl w:val="0"/>
                <w:numId w:val="8"/>
              </w:numPr>
              <w:spacing w:before="0" w:after="0" w:line="288"/>
              <w:ind w:right="0" w:left="720" w:hanging="36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rohkaista oppilasta kertomaan kokemuksistaan sekä ilmaisemaan ajatuksiaan ja tunteitaan</w:t>
            </w:r>
          </w:p>
          <w:p>
            <w:pPr>
              <w:numPr>
                <w:ilvl w:val="0"/>
                <w:numId w:val="8"/>
              </w:numPr>
              <w:spacing w:before="0" w:after="0" w:line="288"/>
              <w:ind w:right="0" w:left="720" w:hanging="36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ohjata oppilasta kuuntelemaan muiden ajatuksia ja mielipiteitä  ja arvostamaan niitä</w:t>
            </w:r>
          </w:p>
          <w:p>
            <w:pPr>
              <w:numPr>
                <w:ilvl w:val="0"/>
                <w:numId w:val="8"/>
              </w:numPr>
              <w:spacing w:before="0" w:after="0" w:line="288"/>
              <w:ind w:right="0" w:left="720" w:hanging="36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edistää oppilaan taitoa esittää kysymyksiä ja perustella väitteensä</w:t>
            </w:r>
          </w:p>
          <w:p>
            <w:pPr>
              <w:numPr>
                <w:ilvl w:val="0"/>
                <w:numId w:val="8"/>
              </w:numPr>
              <w:spacing w:before="0" w:after="0" w:line="288"/>
              <w:ind w:right="0" w:left="720" w:hanging="36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ohjata oppilasta tunnistamaan tapahtumien syy-seuraussuhteita sekä niiden eettisiä ulottuvuuksia</w:t>
            </w:r>
          </w:p>
          <w:p>
            <w:pPr>
              <w:numPr>
                <w:ilvl w:val="0"/>
                <w:numId w:val="8"/>
              </w:numPr>
              <w:spacing w:before="0" w:after="0" w:line="288"/>
              <w:ind w:right="0" w:left="720" w:hanging="36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rohkaista oppilasta pohtimaan hyvän, oikean ja väärän merkityksiä</w:t>
            </w:r>
          </w:p>
          <w:p>
            <w:pPr>
              <w:numPr>
                <w:ilvl w:val="0"/>
                <w:numId w:val="8"/>
              </w:numPr>
              <w:spacing w:before="0" w:after="0" w:line="288"/>
              <w:ind w:right="0" w:left="720" w:hanging="36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opastaa oppilasta tutustumaan lähiympäristön tapakulttuureihin</w:t>
            </w:r>
          </w:p>
          <w:p>
            <w:pPr>
              <w:numPr>
                <w:ilvl w:val="0"/>
                <w:numId w:val="8"/>
              </w:numPr>
              <w:spacing w:before="0" w:after="0" w:line="288"/>
              <w:ind w:right="0" w:left="720" w:hanging="36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ohjata oppilasta ymmärtämään ihmisten yhteiselämän perusteita</w:t>
            </w:r>
          </w:p>
          <w:p>
            <w:pPr>
              <w:numPr>
                <w:ilvl w:val="0"/>
                <w:numId w:val="8"/>
              </w:numPr>
              <w:spacing w:before="0" w:after="0" w:line="288"/>
              <w:ind w:right="0" w:left="720" w:hanging="36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ohjata oppilasta kunnioittamaan ja arvostamaan omaa lähiympäristöään ja luontoa</w:t>
            </w:r>
          </w:p>
          <w:p>
            <w:pPr>
              <w:numPr>
                <w:ilvl w:val="0"/>
                <w:numId w:val="8"/>
              </w:numPr>
              <w:spacing w:before="0" w:after="0" w:line="288"/>
              <w:ind w:right="0" w:left="720" w:hanging="36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tukea oppilaan terveen itsetunnon ja myönteisen minäkuvan rakentumista   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u w:val="single"/>
          <w:shd w:fill="auto" w:val="clear"/>
        </w:rPr>
      </w:pPr>
    </w:p>
    <w:tbl>
      <w:tblPr/>
      <w:tblGrid>
        <w:gridCol w:w="3465"/>
        <w:gridCol w:w="4725"/>
        <w:gridCol w:w="1935"/>
      </w:tblGrid>
      <w:tr>
        <w:trPr>
          <w:trHeight w:val="340" w:hRule="auto"/>
          <w:jc w:val="left"/>
        </w:trPr>
        <w:tc>
          <w:tcPr>
            <w:tcW w:w="10125" w:type="dxa"/>
            <w:gridSpan w:val="3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000000"/>
                <w:spacing w:val="0"/>
                <w:position w:val="0"/>
                <w:sz w:val="28"/>
                <w:u w:val="single"/>
                <w:shd w:fill="auto" w:val="clear"/>
              </w:rPr>
              <w:t xml:space="preserve">Oppisisällöt</w:t>
            </w:r>
          </w:p>
        </w:tc>
      </w:tr>
      <w:tr>
        <w:trPr>
          <w:trHeight w:val="580" w:hRule="auto"/>
          <w:jc w:val="left"/>
        </w:trPr>
        <w:tc>
          <w:tcPr>
            <w:tcW w:w="346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Osa-alue</w:t>
            </w:r>
          </w:p>
        </w:tc>
        <w:tc>
          <w:tcPr>
            <w:tcW w:w="47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Sisältö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93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Laaja-alainen osaaminen</w:t>
            </w:r>
          </w:p>
        </w:tc>
      </w:tr>
      <w:tr>
        <w:trPr>
          <w:trHeight w:val="800" w:hRule="auto"/>
          <w:jc w:val="left"/>
        </w:trPr>
        <w:tc>
          <w:tcPr>
            <w:tcW w:w="346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Kasvaminen hyvään elämään S1 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</w:p>
        </w:tc>
        <w:tc>
          <w:tcPr>
            <w:tcW w:w="47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  <w:r>
              <w:rPr>
                <w:rFonts w:ascii="Cambria" w:hAnsi="Cambria" w:cs="Cambria" w:eastAsia="Cambria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Harjoitellaan keskustelutaitoja opettelemalla      kuuntelemaan toisia kunnioittavasti. 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  <w:r>
              <w:rPr>
                <w:rFonts w:ascii="Cambria" w:hAnsi="Cambria" w:cs="Cambria" w:eastAsia="Cambria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Harjoitellaan selkeää itseilmaisua.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  <w:r>
              <w:rPr>
                <w:rFonts w:ascii="Cambria" w:hAnsi="Cambria" w:cs="Cambria" w:eastAsia="Cambria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Pohditaan hyvän, oikea ja väärän merkityksiä sekä niiden erottamista.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  <w:r>
              <w:rPr>
                <w:rFonts w:ascii="Cambria" w:hAnsi="Cambria" w:cs="Cambria" w:eastAsia="Cambria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Pohditaan ihmisen hyvyyttä.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  <w:r>
              <w:rPr>
                <w:rFonts w:ascii="Cambria" w:hAnsi="Cambria" w:cs="Cambria" w:eastAsia="Cambria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Tutkitaan ystävyyden merkitystä.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(Kultainen sääntö)</w:t>
            </w:r>
          </w:p>
        </w:tc>
        <w:tc>
          <w:tcPr>
            <w:tcW w:w="193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L1, L2, L4, L7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L1, L2, L7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L1, L2, L3, L4, L7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L2, L3, L7</w:t>
            </w:r>
          </w:p>
        </w:tc>
      </w:tr>
      <w:tr>
        <w:trPr>
          <w:trHeight w:val="660" w:hRule="auto"/>
          <w:jc w:val="left"/>
        </w:trPr>
        <w:tc>
          <w:tcPr>
            <w:tcW w:w="346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Erilaiset elämäntavat S2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47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Pohditaan erilaisia tapoja elää ja ajatella.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Pohditaan kysymystä “Kuka minä olen ja mihin minä kuulun?”</w:t>
            </w:r>
          </w:p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Tutkitaan erilaisia elämäntapoja liittyen erityisesti oppilaan omaan kulttuuritaustaan..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93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L1, L2, L3, L4, L7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L1, L2, L7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L1, L2, L3, L4, L7</w:t>
            </w:r>
          </w:p>
        </w:tc>
      </w:tr>
      <w:tr>
        <w:trPr>
          <w:trHeight w:val="2800" w:hRule="auto"/>
          <w:jc w:val="left"/>
        </w:trPr>
        <w:tc>
          <w:tcPr>
            <w:tcW w:w="346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Yhteiselämän perusteita S3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47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Perehdytään ihmisten yhteiselämän perusteisiin tutkimalla säännön, luottamuksen, rehellisyyden ja reiluuden merkitystä erilaisissa oppilaan arkipäivän tilanteissa ja ympäristöissä.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Tutustutaan alustavasti lapsen oikeuksiin ja lasten asemaan erilaisissa yhteisöissä (YK:n lapsen oikeuksien julistus). </w:t>
            </w:r>
          </w:p>
        </w:tc>
        <w:tc>
          <w:tcPr>
            <w:tcW w:w="193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  <w:r>
              <w:rPr>
                <w:rFonts w:ascii="Cambria" w:hAnsi="Cambria" w:cs="Cambria" w:eastAsia="Cambria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L1, L2, L3, L4, L7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L1, L2, L3, L7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2140" w:hRule="auto"/>
          <w:jc w:val="left"/>
        </w:trPr>
        <w:tc>
          <w:tcPr>
            <w:tcW w:w="346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Luonto ja kestävä tulevaisuus S4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47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Tutkitaan erilaisia elämänmuotoja maapallolla ja pohditaan samalla elämän rajallisuutta.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(Elämä! Synty ja kehitys:Minelli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maapallon erilaiset elinolosuhteet)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Tutkitaan oppilaan omaa lähiympäristöä ja tarkastellaan omien valintojen ja toiminnan vaikutusta siihen.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( kierrätys, lajittelu)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Etsitään luontoon liittyviä merkityksellisiä kokemuksia.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93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L1, L2, L3, L4,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L5, L7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L1, L3, L4, L5, L7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L1,L3, L5, L7 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u w:val="single"/>
          <w:shd w:fill="auto" w:val="clear"/>
        </w:rPr>
      </w:pPr>
    </w:p>
    <w:tbl>
      <w:tblPr/>
      <w:tblGrid>
        <w:gridCol w:w="10140"/>
      </w:tblGrid>
      <w:tr>
        <w:trPr>
          <w:trHeight w:val="320" w:hRule="auto"/>
          <w:jc w:val="left"/>
        </w:trPr>
        <w:tc>
          <w:tcPr>
            <w:tcW w:w="1014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Cambria" w:hAnsi="Cambria" w:cs="Cambria" w:eastAsia="Cambria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 </w:t>
            </w:r>
            <w:r>
              <w:rPr>
                <w:rFonts w:ascii="Cambria" w:hAnsi="Cambria" w:cs="Cambria" w:eastAsia="Cambria"/>
                <w:b/>
                <w:color w:val="000000"/>
                <w:spacing w:val="0"/>
                <w:position w:val="0"/>
                <w:sz w:val="28"/>
                <w:u w:val="single"/>
                <w:shd w:fill="auto" w:val="clear"/>
              </w:rPr>
              <w:t xml:space="preserve">Arviointi</w:t>
            </w:r>
          </w:p>
        </w:tc>
      </w:tr>
      <w:tr>
        <w:trPr>
          <w:trHeight w:val="5620" w:hRule="auto"/>
          <w:jc w:val="left"/>
        </w:trPr>
        <w:tc>
          <w:tcPr>
            <w:tcW w:w="1014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numPr>
                <w:ilvl w:val="0"/>
                <w:numId w:val="40"/>
              </w:numPr>
              <w:spacing w:before="0" w:after="0" w:line="240"/>
              <w:ind w:right="0" w:left="720" w:hanging="36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oppilas kykenee toimimaan ryhmän jäsenenä ja ottaa toiset huomioon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</w:p>
          <w:p>
            <w:pPr>
              <w:numPr>
                <w:ilvl w:val="0"/>
                <w:numId w:val="42"/>
              </w:numPr>
              <w:spacing w:before="0" w:after="0" w:line="240"/>
              <w:ind w:right="0" w:left="720" w:hanging="36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oppilas osaa esittää kysymyksiä sekä perustella väitteensä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</w:p>
          <w:p>
            <w:pPr>
              <w:numPr>
                <w:ilvl w:val="0"/>
                <w:numId w:val="44"/>
              </w:numPr>
              <w:spacing w:before="0" w:after="0" w:line="240"/>
              <w:ind w:right="0" w:left="720" w:hanging="36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oppilas osaa kuunnella toisten mielipiteitä ja arvostaa niitä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</w:p>
          <w:p>
            <w:pPr>
              <w:numPr>
                <w:ilvl w:val="0"/>
                <w:numId w:val="46"/>
              </w:numPr>
              <w:spacing w:before="0" w:after="0" w:line="240"/>
              <w:ind w:right="0" w:left="720" w:hanging="36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oppilas ymmärtää oikean ja väärän merkityksen toiminnoissaan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</w:p>
          <w:p>
            <w:pPr>
              <w:numPr>
                <w:ilvl w:val="0"/>
                <w:numId w:val="48"/>
              </w:numPr>
              <w:spacing w:before="0" w:after="0" w:line="240"/>
              <w:ind w:right="0" w:left="720" w:hanging="36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oppilas ymmärtää yhteisten sääntöjen merkityksen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</w:p>
          <w:p>
            <w:pPr>
              <w:numPr>
                <w:ilvl w:val="0"/>
                <w:numId w:val="50"/>
              </w:numPr>
              <w:spacing w:before="0" w:after="0" w:line="240"/>
              <w:ind w:right="0" w:left="720" w:hanging="36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oppilas ymmärtää ystävyyden merkityksen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</w:p>
          <w:p>
            <w:pPr>
              <w:numPr>
                <w:ilvl w:val="0"/>
                <w:numId w:val="52"/>
              </w:numPr>
              <w:spacing w:before="0" w:after="0" w:line="240"/>
              <w:ind w:right="0" w:left="720" w:hanging="36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oppilas ymmärtää luottamuksen, rehellisyyden ja reiluuden merkityksen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</w:p>
          <w:p>
            <w:pPr>
              <w:numPr>
                <w:ilvl w:val="0"/>
                <w:numId w:val="54"/>
              </w:numPr>
              <w:spacing w:before="0" w:after="0" w:line="240"/>
              <w:ind w:right="0" w:left="720" w:hanging="36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oppilas tietää alustavasti lapsen oikeudet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</w:p>
          <w:p>
            <w:pPr>
              <w:numPr>
                <w:ilvl w:val="0"/>
                <w:numId w:val="56"/>
              </w:numPr>
              <w:spacing w:before="0" w:after="0" w:line="240"/>
              <w:ind w:right="0" w:left="720" w:hanging="36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oppilas ymmärtää, että lapsilla on erilaisia kulttuuritaustoja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</w:p>
          <w:p>
            <w:pPr>
              <w:numPr>
                <w:ilvl w:val="0"/>
                <w:numId w:val="58"/>
              </w:numPr>
              <w:spacing w:before="0" w:after="0" w:line="240"/>
              <w:ind w:right="0" w:left="720" w:hanging="36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oppilas ymmärtää omien valintojen vaikutuksen luontoon ja kestävään tulevaisuuteen</w:t>
            </w:r>
          </w:p>
        </w:tc>
      </w:tr>
    </w:tbl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u w:val="single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abstractNum w:abstractNumId="36">
    <w:lvl w:ilvl="0">
      <w:start w:val="1"/>
      <w:numFmt w:val="bullet"/>
      <w:lvlText w:val="•"/>
    </w:lvl>
  </w:abstractNum>
  <w:abstractNum w:abstractNumId="42">
    <w:lvl w:ilvl="0">
      <w:start w:val="1"/>
      <w:numFmt w:val="bullet"/>
      <w:lvlText w:val="•"/>
    </w:lvl>
  </w:abstractNum>
  <w:abstractNum w:abstractNumId="48">
    <w:lvl w:ilvl="0">
      <w:start w:val="1"/>
      <w:numFmt w:val="bullet"/>
      <w:lvlText w:val="•"/>
    </w:lvl>
  </w:abstractNum>
  <w:abstractNum w:abstractNumId="54">
    <w:lvl w:ilvl="0">
      <w:start w:val="1"/>
      <w:numFmt w:val="bullet"/>
      <w:lvlText w:val="•"/>
    </w:lvl>
  </w:abstractNum>
  <w:abstractNum w:abstractNumId="60">
    <w:lvl w:ilvl="0">
      <w:start w:val="1"/>
      <w:numFmt w:val="bullet"/>
      <w:lvlText w:val="•"/>
    </w:lvl>
  </w:abstractNum>
  <w:num w:numId="8">
    <w:abstractNumId w:val="60"/>
  </w:num>
  <w:num w:numId="40">
    <w:abstractNumId w:val="54"/>
  </w:num>
  <w:num w:numId="42">
    <w:abstractNumId w:val="48"/>
  </w:num>
  <w:num w:numId="44">
    <w:abstractNumId w:val="42"/>
  </w:num>
  <w:num w:numId="46">
    <w:abstractNumId w:val="36"/>
  </w:num>
  <w:num w:numId="48">
    <w:abstractNumId w:val="30"/>
  </w:num>
  <w:num w:numId="50">
    <w:abstractNumId w:val="24"/>
  </w:num>
  <w:num w:numId="52">
    <w:abstractNumId w:val="18"/>
  </w:num>
  <w:num w:numId="54">
    <w:abstractNumId w:val="12"/>
  </w:num>
  <w:num w:numId="56">
    <w:abstractNumId w:val="6"/>
  </w:num>
  <w:num w:numId="58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