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after="0" w:line="240" w:lineRule="auto"/>
        <w:rPr>
          <w:rFonts w:ascii="Arial" w:cs="Arial" w:eastAsia="Arial" w:hAnsi="Arial"/>
          <w:color w:val="232e6c"/>
          <w:sz w:val="20"/>
          <w:szCs w:val="20"/>
        </w:rPr>
      </w:pPr>
      <w:bookmarkStart w:colFirst="0" w:colLast="0" w:name="_heading=h.efiskenj2qpq" w:id="0"/>
      <w:bookmarkEnd w:id="0"/>
      <w:r w:rsidDel="00000000" w:rsidR="00000000" w:rsidRPr="00000000">
        <w:rPr>
          <w:rFonts w:ascii="Arial" w:cs="Arial" w:eastAsia="Arial" w:hAnsi="Arial"/>
          <w:color w:val="232e6c"/>
          <w:sz w:val="20"/>
          <w:szCs w:val="20"/>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19052</wp:posOffset>
            </wp:positionV>
            <wp:extent cx="1837372" cy="95402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37372" cy="954020"/>
                    </a:xfrm>
                    <a:prstGeom prst="rect"/>
                    <a:ln/>
                  </pic:spPr>
                </pic:pic>
              </a:graphicData>
            </a:graphic>
          </wp:anchor>
        </w:drawing>
      </w:r>
    </w:p>
    <w:p w:rsidR="00000000" w:rsidDel="00000000" w:rsidP="00000000" w:rsidRDefault="00000000" w:rsidRPr="00000000" w14:paraId="00000002">
      <w:pPr>
        <w:tabs>
          <w:tab w:val="center" w:leader="none" w:pos="4819"/>
          <w:tab w:val="right" w:leader="none" w:pos="9638"/>
        </w:tabs>
        <w:spacing w:after="0" w:line="240" w:lineRule="auto"/>
        <w:rPr>
          <w:rFonts w:ascii="Arial" w:cs="Arial" w:eastAsia="Arial" w:hAnsi="Arial"/>
          <w:color w:val="232e6c"/>
          <w:sz w:val="20"/>
          <w:szCs w:val="20"/>
        </w:rPr>
      </w:pPr>
      <w:bookmarkStart w:colFirst="0" w:colLast="0" w:name="_heading=h.un5r3bxe866x" w:id="1"/>
      <w:bookmarkEnd w:id="1"/>
      <w:r w:rsidDel="00000000" w:rsidR="00000000" w:rsidRPr="00000000">
        <w:rPr>
          <w:rFonts w:ascii="Arial" w:cs="Arial" w:eastAsia="Arial" w:hAnsi="Arial"/>
          <w:color w:val="232e6c"/>
          <w:sz w:val="20"/>
          <w:szCs w:val="20"/>
          <w:rtl w:val="0"/>
        </w:rPr>
        <w:tab/>
        <w:tab/>
        <w:t xml:space="preserve">Lukuvuosisuunnitelma</w:t>
      </w:r>
    </w:p>
    <w:p w:rsidR="00000000" w:rsidDel="00000000" w:rsidP="00000000" w:rsidRDefault="00000000" w:rsidRPr="00000000" w14:paraId="00000003">
      <w:pPr>
        <w:tabs>
          <w:tab w:val="center" w:leader="none" w:pos="4819"/>
          <w:tab w:val="right" w:leader="none" w:pos="9638"/>
        </w:tabs>
        <w:spacing w:after="0" w:line="240" w:lineRule="auto"/>
        <w:rPr>
          <w:rFonts w:ascii="Arial" w:cs="Arial" w:eastAsia="Arial" w:hAnsi="Arial"/>
          <w:color w:val="232e6c"/>
          <w:sz w:val="20"/>
          <w:szCs w:val="20"/>
        </w:rPr>
      </w:pPr>
      <w:bookmarkStart w:colFirst="0" w:colLast="0" w:name="_heading=h.tofjdy67e8zq" w:id="2"/>
      <w:bookmarkEnd w:id="2"/>
      <w:r w:rsidDel="00000000" w:rsidR="00000000" w:rsidRPr="00000000">
        <w:rPr>
          <w:rFonts w:ascii="Arial" w:cs="Arial" w:eastAsia="Arial" w:hAnsi="Arial"/>
          <w:color w:val="232e6c"/>
          <w:sz w:val="20"/>
          <w:szCs w:val="20"/>
          <w:rtl w:val="0"/>
        </w:rPr>
        <w:tab/>
        <w:tab/>
      </w:r>
      <w:hyperlink r:id="rId8">
        <w:r w:rsidDel="00000000" w:rsidR="00000000" w:rsidRPr="00000000">
          <w:rPr>
            <w:rFonts w:ascii="Arial" w:cs="Arial" w:eastAsia="Arial" w:hAnsi="Arial"/>
            <w:color w:val="1155cc"/>
            <w:sz w:val="20"/>
            <w:szCs w:val="20"/>
            <w:u w:val="single"/>
            <w:rtl w:val="0"/>
          </w:rPr>
          <w:t xml:space="preserve">Linkki täyttöohjeisiin</w:t>
        </w:r>
      </w:hyperlink>
      <w:r w:rsidDel="00000000" w:rsidR="00000000" w:rsidRPr="00000000">
        <w:rPr>
          <w:rtl w:val="0"/>
        </w:rPr>
      </w:r>
    </w:p>
    <w:p w:rsidR="00000000" w:rsidDel="00000000" w:rsidP="00000000" w:rsidRDefault="00000000" w:rsidRPr="00000000" w14:paraId="00000004">
      <w:pPr>
        <w:tabs>
          <w:tab w:val="center" w:leader="none" w:pos="4819"/>
          <w:tab w:val="right" w:leader="none" w:pos="9638"/>
        </w:tabs>
        <w:spacing w:after="0" w:line="240" w:lineRule="auto"/>
        <w:rPr>
          <w:rFonts w:ascii="Arial" w:cs="Arial" w:eastAsia="Arial" w:hAnsi="Arial"/>
          <w:b w:val="1"/>
          <w:bCs w:val="1"/>
          <w:color w:val="002060"/>
          <w:sz w:val="20"/>
          <w:szCs w:val="20"/>
        </w:rPr>
      </w:pPr>
      <w:bookmarkStart w:colFirst="0" w:colLast="0" w:name="_heading=h.k6f6q4kycs5a" w:id="3"/>
      <w:bookmarkEnd w:id="3"/>
      <w:r w:rsidDel="00000000" w:rsidR="00000000" w:rsidRPr="00000000">
        <w:rPr>
          <w:rFonts w:ascii="Arial" w:cs="Arial" w:eastAsia="Arial" w:hAnsi="Arial"/>
          <w:color w:val="232e6c"/>
          <w:sz w:val="20"/>
          <w:szCs w:val="20"/>
          <w:rtl w:val="0"/>
        </w:rPr>
        <w:tab/>
        <w:tab/>
        <w:t xml:space="preserve">päivitett</w:t>
      </w:r>
      <w:r w:rsidDel="00000000" w:rsidR="00000000" w:rsidRPr="00000000">
        <w:rPr>
          <w:rFonts w:ascii="Arial" w:cs="Arial" w:eastAsia="Arial" w:hAnsi="Arial"/>
          <w:color w:val="002060"/>
          <w:sz w:val="20"/>
          <w:szCs w:val="20"/>
          <w:rtl w:val="0"/>
        </w:rPr>
        <w:t xml:space="preserve">y 05/ 2026</w:t>
      </w:r>
      <w:r w:rsidDel="00000000" w:rsidR="00000000" w:rsidRPr="00000000">
        <w:rPr>
          <w:rtl w:val="0"/>
        </w:rPr>
      </w:r>
    </w:p>
    <w:p w:rsidR="00000000" w:rsidDel="00000000" w:rsidP="00000000" w:rsidRDefault="00000000" w:rsidRPr="00000000" w14:paraId="00000005">
      <w:pPr>
        <w:tabs>
          <w:tab w:val="center" w:leader="none" w:pos="4819"/>
          <w:tab w:val="right" w:leader="none" w:pos="9638"/>
        </w:tabs>
        <w:spacing w:after="0" w:line="240" w:lineRule="auto"/>
        <w:rPr>
          <w:rFonts w:ascii="Arial" w:cs="Arial" w:eastAsia="Arial" w:hAnsi="Arial"/>
          <w:sz w:val="20"/>
          <w:szCs w:val="20"/>
        </w:rPr>
      </w:pPr>
      <w:bookmarkStart w:colFirst="0" w:colLast="0" w:name="_heading=h.4htldgj8f5b5" w:id="4"/>
      <w:bookmarkEnd w:id="4"/>
      <w:r w:rsidDel="00000000" w:rsidR="00000000" w:rsidRPr="00000000">
        <w:rPr>
          <w:rtl w:val="0"/>
        </w:rPr>
      </w:r>
    </w:p>
    <w:p w:rsidR="00000000" w:rsidDel="00000000" w:rsidP="00000000" w:rsidRDefault="00000000" w:rsidRPr="00000000" w14:paraId="00000006">
      <w:pPr>
        <w:tabs>
          <w:tab w:val="center" w:leader="none" w:pos="4819"/>
          <w:tab w:val="right" w:leader="none" w:pos="9638"/>
        </w:tabs>
        <w:spacing w:after="0" w:line="240" w:lineRule="auto"/>
        <w:rPr>
          <w:rFonts w:ascii="Arial" w:cs="Arial" w:eastAsia="Arial" w:hAnsi="Arial"/>
          <w:sz w:val="20"/>
          <w:szCs w:val="20"/>
        </w:rPr>
      </w:pPr>
      <w:bookmarkStart w:colFirst="0" w:colLast="0" w:name="_heading=h.rfm1s5kusw5h" w:id="5"/>
      <w:bookmarkEnd w:id="5"/>
      <w:r w:rsidDel="00000000" w:rsidR="00000000" w:rsidRPr="00000000">
        <w:rPr>
          <w:rFonts w:ascii="Arial" w:cs="Arial" w:eastAsia="Arial" w:hAnsi="Arial"/>
          <w:sz w:val="20"/>
          <w:szCs w:val="20"/>
          <w:rtl w:val="0"/>
        </w:rPr>
        <w:tab/>
        <w:tab/>
      </w:r>
    </w:p>
    <w:p w:rsidR="00000000" w:rsidDel="00000000" w:rsidP="00000000" w:rsidRDefault="00000000" w:rsidRPr="00000000" w14:paraId="00000007">
      <w:pPr>
        <w:tabs>
          <w:tab w:val="center" w:leader="none" w:pos="4819"/>
          <w:tab w:val="right" w:leader="none" w:pos="9638"/>
        </w:tabs>
        <w:spacing w:after="0" w:line="240" w:lineRule="auto"/>
        <w:rPr>
          <w:rFonts w:ascii="Arial" w:cs="Arial" w:eastAsia="Arial" w:hAnsi="Arial"/>
          <w:color w:val="1155cc"/>
          <w:sz w:val="20"/>
          <w:szCs w:val="20"/>
          <w:u w:val="single"/>
        </w:rPr>
      </w:pPr>
      <w:bookmarkStart w:colFirst="0" w:colLast="0" w:name="_heading=h.m8xp69jlgq28" w:id="6"/>
      <w:bookmarkEnd w:id="6"/>
      <w:r w:rsidDel="00000000" w:rsidR="00000000" w:rsidRPr="00000000">
        <w:rPr>
          <w:rFonts w:ascii="Arial" w:cs="Arial" w:eastAsia="Arial" w:hAnsi="Arial"/>
          <w:sz w:val="20"/>
          <w:szCs w:val="20"/>
          <w:rtl w:val="0"/>
        </w:rPr>
        <w:tab/>
        <w:tab/>
      </w:r>
      <w:r w:rsidDel="00000000" w:rsidR="00000000" w:rsidRPr="00000000">
        <w:rPr>
          <w:rtl w:val="0"/>
        </w:rPr>
      </w:r>
    </w:p>
    <w:p w:rsidR="00000000" w:rsidDel="00000000" w:rsidP="00000000" w:rsidRDefault="00000000" w:rsidRPr="00000000" w14:paraId="00000008">
      <w:pPr>
        <w:tabs>
          <w:tab w:val="center" w:leader="none" w:pos="4819"/>
          <w:tab w:val="right" w:leader="none" w:pos="9638"/>
        </w:tabs>
        <w:spacing w:after="0" w:line="240" w:lineRule="auto"/>
        <w:rPr>
          <w:rFonts w:ascii="Arial" w:cs="Arial" w:eastAsia="Arial" w:hAnsi="Arial"/>
          <w:color w:val="1155cc"/>
          <w:sz w:val="20"/>
          <w:szCs w:val="20"/>
          <w:u w:val="single"/>
        </w:rPr>
      </w:pPr>
      <w:bookmarkStart w:colFirst="0" w:colLast="0" w:name="_heading=h.qripey9vbwt2" w:id="7"/>
      <w:bookmarkEnd w:id="7"/>
      <w:r w:rsidDel="00000000" w:rsidR="00000000" w:rsidRPr="00000000">
        <w:rPr>
          <w:rtl w:val="0"/>
        </w:rPr>
      </w:r>
    </w:p>
    <w:p w:rsidR="00000000" w:rsidDel="00000000" w:rsidP="00000000" w:rsidRDefault="00000000" w:rsidRPr="00000000" w14:paraId="00000009">
      <w:pPr>
        <w:rPr>
          <w:rFonts w:ascii="Arial" w:cs="Arial" w:eastAsia="Arial" w:hAnsi="Arial"/>
          <w:b w:val="1"/>
          <w:bCs w:val="1"/>
          <w:color w:val="232e6c"/>
          <w:sz w:val="20"/>
          <w:szCs w:val="20"/>
          <w:u w:val="single"/>
        </w:rPr>
      </w:pPr>
      <w:r w:rsidDel="00000000" w:rsidR="00000000" w:rsidRPr="00000000">
        <w:rPr>
          <w:rFonts w:ascii="Arial" w:cs="Arial" w:eastAsia="Arial" w:hAnsi="Arial"/>
          <w:b w:val="1"/>
          <w:bCs w:val="1"/>
          <w:color w:val="232e6c"/>
          <w:sz w:val="20"/>
          <w:szCs w:val="20"/>
          <w:rtl w:val="0"/>
        </w:rPr>
        <w:t xml:space="preserve">Lohjan strateginen käsikirjoitus - Kohti Suomen elinvoimaisinta seutukaupunkia 2026-2030</w:t>
      </w:r>
      <w:r w:rsidDel="00000000" w:rsidR="00000000" w:rsidRPr="00000000">
        <w:rPr>
          <w:rtl w:val="0"/>
        </w:rPr>
      </w:r>
    </w:p>
    <w:p w:rsidR="00000000" w:rsidDel="00000000" w:rsidP="00000000" w:rsidRDefault="00000000" w:rsidRPr="00000000" w14:paraId="0000000A">
      <w:pPr>
        <w:numPr>
          <w:ilvl w:val="0"/>
          <w:numId w:val="3"/>
        </w:numPr>
        <w:spacing w:after="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hyödynnämme sijaintiamme ja kehitämme liikenneyhteyksiä</w:t>
      </w:r>
    </w:p>
    <w:p w:rsidR="00000000" w:rsidDel="00000000" w:rsidP="00000000" w:rsidRDefault="00000000" w:rsidRPr="00000000" w14:paraId="0000000B">
      <w:pPr>
        <w:numPr>
          <w:ilvl w:val="0"/>
          <w:numId w:val="3"/>
        </w:numPr>
        <w:spacing w:after="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vahvistamme Lohjan tunnettuutta järviluonnon, kulttuurin ja elämysten kaupunkina</w:t>
      </w:r>
    </w:p>
    <w:p w:rsidR="00000000" w:rsidDel="00000000" w:rsidP="00000000" w:rsidRDefault="00000000" w:rsidRPr="00000000" w14:paraId="0000000C">
      <w:pPr>
        <w:numPr>
          <w:ilvl w:val="0"/>
          <w:numId w:val="3"/>
        </w:numPr>
        <w:spacing w:after="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rakennamme sujuvaa ja aktivoivaa arkea toimivien palvelujen kautta</w:t>
      </w:r>
    </w:p>
    <w:p w:rsidR="00000000" w:rsidDel="00000000" w:rsidP="00000000" w:rsidRDefault="00000000" w:rsidRPr="00000000" w14:paraId="0000000D">
      <w:pPr>
        <w:numPr>
          <w:ilvl w:val="0"/>
          <w:numId w:val="3"/>
        </w:numPr>
        <w:spacing w:after="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luomme yrityksille ympäristön, johon on helppo sijoittua ja jossa on helppo toimia ja kasvaa</w:t>
      </w:r>
    </w:p>
    <w:p w:rsidR="00000000" w:rsidDel="00000000" w:rsidP="00000000" w:rsidRDefault="00000000" w:rsidRPr="00000000" w14:paraId="0000000E">
      <w:pPr>
        <w:spacing w:after="240" w:befor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Yhteiset arvomme määrittelevät tapamme tehdä työtämme: uudistumme rohkeasti, teemme kestäviä valintoja, vaalimme ja vahvistamme avoimuutta ja osallisuutta. Ja ennen kaikkea, kuljemme kohti strategiassa asetettuja tavoitteita yhdessä.</w:t>
      </w:r>
    </w:p>
    <w:p w:rsidR="00000000" w:rsidDel="00000000" w:rsidP="00000000" w:rsidRDefault="00000000" w:rsidRPr="00000000" w14:paraId="0000000F">
      <w:pPr>
        <w:spacing w:after="240" w:befor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Paras arjessa - Oppiva ja hyvinvoiva</w:t>
      </w:r>
    </w:p>
    <w:p w:rsidR="00000000" w:rsidDel="00000000" w:rsidP="00000000" w:rsidRDefault="00000000" w:rsidRPr="00000000" w14:paraId="00000010">
      <w:pPr>
        <w:spacing w:after="240" w:befor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Kehitämme palveluita, oppimisympäristöjä ja hyvinvoinnin rakenteita niin, että arki toimii elämäntilanteesta riippumatta. Tavoitteenamme on luoda Suomen parhaat olosuhteet asukkaiden hyvinvoinnin edistämiseen.</w:t>
      </w:r>
    </w:p>
    <w:p w:rsidR="00000000" w:rsidDel="00000000" w:rsidP="00000000" w:rsidRDefault="00000000" w:rsidRPr="00000000" w14:paraId="00000011">
      <w:pPr>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Varhaiskasvatuksen painopiste 2025-2027:</w:t>
      </w:r>
      <w:r w:rsidDel="00000000" w:rsidR="00000000" w:rsidRPr="00000000">
        <w:rPr>
          <w:rFonts w:ascii="Arial" w:cs="Arial" w:eastAsia="Arial" w:hAnsi="Arial"/>
          <w:color w:val="232e6c"/>
          <w:sz w:val="20"/>
          <w:szCs w:val="20"/>
          <w:rtl w:val="0"/>
        </w:rPr>
        <w:t xml:space="preserve"> Hyvinvoiva yhteisö</w:t>
      </w:r>
    </w:p>
    <w:p w:rsidR="00000000" w:rsidDel="00000000" w:rsidP="00000000" w:rsidRDefault="00000000" w:rsidRPr="00000000" w14:paraId="00000012">
      <w:pPr>
        <w:numPr>
          <w:ilvl w:val="0"/>
          <w:numId w:val="4"/>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Ihmiset kokevat kuuluvansa joukkoon</w:t>
      </w:r>
      <w:r w:rsidDel="00000000" w:rsidR="00000000" w:rsidRPr="00000000">
        <w:rPr>
          <w:rFonts w:ascii="Arial" w:cs="Arial" w:eastAsia="Arial" w:hAnsi="Arial"/>
          <w:color w:val="232e6c"/>
          <w:sz w:val="20"/>
          <w:szCs w:val="20"/>
          <w:rtl w:val="0"/>
        </w:rPr>
        <w:t xml:space="preserve"> – jokainen tuntee itsensä arvostetuksi ja hyväksytyksi sellaisena kuin on.</w:t>
      </w:r>
    </w:p>
    <w:p w:rsidR="00000000" w:rsidDel="00000000" w:rsidP="00000000" w:rsidRDefault="00000000" w:rsidRPr="00000000" w14:paraId="00000013">
      <w:pPr>
        <w:numPr>
          <w:ilvl w:val="0"/>
          <w:numId w:val="4"/>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Viestintä on avointa ja rakentavaa</w:t>
      </w:r>
      <w:r w:rsidDel="00000000" w:rsidR="00000000" w:rsidRPr="00000000">
        <w:rPr>
          <w:rFonts w:ascii="Arial" w:cs="Arial" w:eastAsia="Arial" w:hAnsi="Arial"/>
          <w:color w:val="232e6c"/>
          <w:sz w:val="20"/>
          <w:szCs w:val="20"/>
          <w:rtl w:val="0"/>
        </w:rPr>
        <w:t xml:space="preserve">, ja ristiriitoja käsitellään kunnioittavasti.</w:t>
      </w:r>
    </w:p>
    <w:p w:rsidR="00000000" w:rsidDel="00000000" w:rsidP="00000000" w:rsidRDefault="00000000" w:rsidRPr="00000000" w14:paraId="00000014">
      <w:pPr>
        <w:numPr>
          <w:ilvl w:val="0"/>
          <w:numId w:val="4"/>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Yhteistyö ja auttamisen halu</w:t>
      </w:r>
      <w:r w:rsidDel="00000000" w:rsidR="00000000" w:rsidRPr="00000000">
        <w:rPr>
          <w:rFonts w:ascii="Arial" w:cs="Arial" w:eastAsia="Arial" w:hAnsi="Arial"/>
          <w:color w:val="232e6c"/>
          <w:sz w:val="20"/>
          <w:szCs w:val="20"/>
          <w:rtl w:val="0"/>
        </w:rPr>
        <w:t xml:space="preserve"> näkyvät arjessa – ihmiset tukevat toisiaan vaikeina aikoina ja iloitsevat yhdessä hyvistä hetkistä.</w:t>
      </w:r>
    </w:p>
    <w:p w:rsidR="00000000" w:rsidDel="00000000" w:rsidP="00000000" w:rsidRDefault="00000000" w:rsidRPr="00000000" w14:paraId="00000015">
      <w:pPr>
        <w:numPr>
          <w:ilvl w:val="0"/>
          <w:numId w:val="4"/>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Osallistumismahdollisuuksia on kaikille</w:t>
      </w:r>
      <w:r w:rsidDel="00000000" w:rsidR="00000000" w:rsidRPr="00000000">
        <w:rPr>
          <w:rFonts w:ascii="Arial" w:cs="Arial" w:eastAsia="Arial" w:hAnsi="Arial"/>
          <w:color w:val="232e6c"/>
          <w:sz w:val="20"/>
          <w:szCs w:val="20"/>
          <w:rtl w:val="0"/>
        </w:rPr>
        <w:t xml:space="preserve">, ja päätöksenteko on demokraattista ja läpinäkyvää.</w:t>
      </w:r>
    </w:p>
    <w:p w:rsidR="00000000" w:rsidDel="00000000" w:rsidP="00000000" w:rsidRDefault="00000000" w:rsidRPr="00000000" w14:paraId="00000016">
      <w:pPr>
        <w:numPr>
          <w:ilvl w:val="0"/>
          <w:numId w:val="4"/>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Hyvinvointi näkyy myös käytännössä</w:t>
      </w:r>
      <w:r w:rsidDel="00000000" w:rsidR="00000000" w:rsidRPr="00000000">
        <w:rPr>
          <w:rFonts w:ascii="Arial" w:cs="Arial" w:eastAsia="Arial" w:hAnsi="Arial"/>
          <w:color w:val="232e6c"/>
          <w:sz w:val="20"/>
          <w:szCs w:val="20"/>
          <w:rtl w:val="0"/>
        </w:rPr>
        <w:t xml:space="preserve"> – esimerkiksi palvelut ovat saavutettavissa, ympäristö on turvallinen ja terveellinen, ja harrastus- tai oppimismahdollisuuksia on monipuolisesti.</w:t>
      </w:r>
    </w:p>
    <w:p w:rsidR="00000000" w:rsidDel="00000000" w:rsidP="00000000" w:rsidRDefault="00000000" w:rsidRPr="00000000" w14:paraId="00000017">
      <w:pPr>
        <w:spacing w:after="0" w:line="276"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Lisäksi</w:t>
      </w:r>
    </w:p>
    <w:p w:rsidR="00000000" w:rsidDel="00000000" w:rsidP="00000000" w:rsidRDefault="00000000" w:rsidRPr="00000000" w14:paraId="00000019">
      <w:pPr>
        <w:numPr>
          <w:ilvl w:val="0"/>
          <w:numId w:val="5"/>
        </w:numPr>
        <w:spacing w:after="0" w:line="276"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Lukeva varhaiskasvatus - Lohjan lukutaitostrategia</w:t>
      </w:r>
    </w:p>
    <w:p w:rsidR="00000000" w:rsidDel="00000000" w:rsidP="00000000" w:rsidRDefault="00000000" w:rsidRPr="00000000" w14:paraId="0000001A">
      <w:pPr>
        <w:numPr>
          <w:ilvl w:val="0"/>
          <w:numId w:val="5"/>
        </w:numPr>
        <w:spacing w:after="0" w:line="276"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Liikkuva varhaiskasvatus - Liikunnan vuosikello </w:t>
      </w:r>
    </w:p>
    <w:p w:rsidR="00000000" w:rsidDel="00000000" w:rsidP="00000000" w:rsidRDefault="00000000" w:rsidRPr="00000000" w14:paraId="0000001B">
      <w:pPr>
        <w:numPr>
          <w:ilvl w:val="0"/>
          <w:numId w:val="5"/>
        </w:numPr>
        <w:spacing w:after="0" w:line="276"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Osaava varhaiskasvatus (digi) - Digitaaliset taitotasotavoitteet</w:t>
      </w:r>
    </w:p>
    <w:p w:rsidR="00000000" w:rsidDel="00000000" w:rsidP="00000000" w:rsidRDefault="00000000" w:rsidRPr="00000000" w14:paraId="0000001C">
      <w:pPr>
        <w:numPr>
          <w:ilvl w:val="0"/>
          <w:numId w:val="5"/>
        </w:numPr>
        <w:spacing w:after="0" w:line="276" w:lineRule="auto"/>
        <w:ind w:left="720" w:hanging="360"/>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Kielitietoinen oppimisympäristö - Kielipeda (osio 1)</w:t>
      </w:r>
    </w:p>
    <w:p w:rsidR="00000000" w:rsidDel="00000000" w:rsidP="00000000" w:rsidRDefault="00000000" w:rsidRPr="00000000" w14:paraId="0000001D">
      <w:pPr>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Varhaiskasvatuksen toiminnan arviointikohde (Valssi):</w:t>
      </w:r>
    </w:p>
    <w:p w:rsidR="00000000" w:rsidDel="00000000" w:rsidP="00000000" w:rsidRDefault="00000000" w:rsidRPr="00000000" w14:paraId="0000001F">
      <w:pPr>
        <w:rPr>
          <w:rFonts w:ascii="Arial" w:cs="Arial" w:eastAsia="Arial" w:hAnsi="Arial"/>
          <w:b w:val="1"/>
          <w:bCs w:val="1"/>
          <w:color w:val="232e6c"/>
          <w:sz w:val="20"/>
          <w:szCs w:val="20"/>
        </w:rPr>
      </w:pPr>
      <w:r w:rsidDel="00000000" w:rsidR="00000000" w:rsidRPr="00000000">
        <w:rPr>
          <w:rFonts w:ascii="Arial" w:cs="Arial" w:eastAsia="Arial" w:hAnsi="Arial"/>
          <w:color w:val="232e6c"/>
          <w:sz w:val="20"/>
          <w:szCs w:val="20"/>
          <w:highlight w:val="white"/>
          <w:rtl w:val="0"/>
        </w:rPr>
        <w:t xml:space="preserve">Valssi on kansallinen laadunarviointijärjestelmä, jonka tarkoituksena on tukea järjestäjiä ja palveluntuottajia heidän laadunhallinnassaan. </w:t>
      </w:r>
      <w:r w:rsidDel="00000000" w:rsidR="00000000" w:rsidRPr="00000000">
        <w:rPr>
          <w:rFonts w:ascii="Arial" w:cs="Arial" w:eastAsia="Arial" w:hAnsi="Arial"/>
          <w:b w:val="1"/>
          <w:bCs w:val="1"/>
          <w:color w:val="232e6c"/>
          <w:sz w:val="20"/>
          <w:szCs w:val="20"/>
          <w:rtl w:val="0"/>
        </w:rPr>
        <w:t xml:space="preserve"> </w:t>
      </w:r>
    </w:p>
    <w:p w:rsidR="00000000" w:rsidDel="00000000" w:rsidP="00000000" w:rsidRDefault="00000000" w:rsidRPr="00000000" w14:paraId="00000020">
      <w:pPr>
        <w:spacing w:after="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2026-2027 Kolmevuotiaiden ja sitä nuorempien lasten varhaiskasvatus (valtakunnallinen otos)</w:t>
      </w:r>
    </w:p>
    <w:p w:rsidR="00000000" w:rsidDel="00000000" w:rsidP="00000000" w:rsidRDefault="00000000" w:rsidRPr="00000000" w14:paraId="00000021">
      <w:pPr>
        <w:spacing w:after="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2026-2027 Lapsen tuki (kaupungin oma prosessi)</w:t>
      </w:r>
    </w:p>
    <w:p w:rsidR="00000000" w:rsidDel="00000000" w:rsidP="00000000" w:rsidRDefault="00000000" w:rsidRPr="00000000" w14:paraId="00000022">
      <w:pPr>
        <w:spacing w:after="0" w:lineRule="auto"/>
        <w:rPr>
          <w:rFonts w:ascii="Arial" w:cs="Arial" w:eastAsia="Arial" w:hAnsi="Arial"/>
          <w:b w:val="1"/>
          <w:bCs w:val="1"/>
          <w:color w:val="232e6c"/>
          <w:sz w:val="20"/>
          <w:szCs w:val="20"/>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9">
      <w:pPr>
        <w:pageBreakBefore w:val="0"/>
        <w:spacing w:after="0" w:lineRule="auto"/>
        <w:ind w:left="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A">
      <w:pPr>
        <w:pageBreakBefore w:val="0"/>
        <w:spacing w:after="0" w:lineRule="auto"/>
        <w:ind w:left="0" w:firstLine="0"/>
        <w:rPr>
          <w:rFonts w:ascii="Arial" w:cs="Arial" w:eastAsia="Arial" w:hAnsi="Arial"/>
          <w:color w:val="232e6c"/>
          <w:sz w:val="20"/>
          <w:szCs w:val="20"/>
        </w:rPr>
      </w:pPr>
      <w:r w:rsidDel="00000000" w:rsidR="00000000" w:rsidRPr="00000000">
        <w:rPr>
          <w:rtl w:val="0"/>
        </w:rPr>
      </w:r>
    </w:p>
    <w:tbl>
      <w:tblPr>
        <w:tblStyle w:val="Table1"/>
        <w:tblW w:w="96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5"/>
        <w:gridCol w:w="7355.000000000001"/>
        <w:tblGridChange w:id="0">
          <w:tblGrid>
            <w:gridCol w:w="2245"/>
            <w:gridCol w:w="7355.000000000001"/>
          </w:tblGrid>
        </w:tblGridChange>
      </w:tblGrid>
      <w:tr>
        <w:trPr>
          <w:cantSplit w:val="0"/>
          <w:trHeight w:val="420"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2B">
            <w:pPr>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Perustiedot (yksikkö ja ryhmät)</w:t>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Tea ANTELL</w:t>
            </w:r>
          </w:p>
          <w:p w:rsidR="00000000" w:rsidDel="00000000" w:rsidP="00000000" w:rsidRDefault="00000000" w:rsidRPr="00000000" w14:paraId="0000002E">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Katja DAVIDSSON</w:t>
            </w:r>
          </w:p>
          <w:p w:rsidR="00000000" w:rsidDel="00000000" w:rsidP="00000000" w:rsidRDefault="00000000" w:rsidRPr="00000000" w14:paraId="0000002F">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Teija HEINO</w:t>
            </w:r>
          </w:p>
          <w:p w:rsidR="00000000" w:rsidDel="00000000" w:rsidP="00000000" w:rsidRDefault="00000000" w:rsidRPr="00000000" w14:paraId="00000030">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Seija HELLMAN</w:t>
            </w:r>
          </w:p>
          <w:p w:rsidR="00000000" w:rsidDel="00000000" w:rsidP="00000000" w:rsidRDefault="00000000" w:rsidRPr="00000000" w14:paraId="00000031">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Ritva IKKALA</w:t>
            </w:r>
          </w:p>
          <w:p w:rsidR="00000000" w:rsidDel="00000000" w:rsidP="00000000" w:rsidRDefault="00000000" w:rsidRPr="00000000" w14:paraId="00000032">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Ritva LINDQVIST</w:t>
            </w:r>
          </w:p>
          <w:p w:rsidR="00000000" w:rsidDel="00000000" w:rsidP="00000000" w:rsidRDefault="00000000" w:rsidRPr="00000000" w14:paraId="00000033">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Eija MIETTINEN</w:t>
            </w:r>
          </w:p>
          <w:p w:rsidR="00000000" w:rsidDel="00000000" w:rsidP="00000000" w:rsidRDefault="00000000" w:rsidRPr="00000000" w14:paraId="00000034">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Taina PELTONIEMI</w:t>
            </w:r>
          </w:p>
          <w:p w:rsidR="00000000" w:rsidDel="00000000" w:rsidP="00000000" w:rsidRDefault="00000000" w:rsidRPr="00000000" w14:paraId="00000035">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Mari RAUTELL</w:t>
            </w:r>
          </w:p>
          <w:p w:rsidR="00000000" w:rsidDel="00000000" w:rsidP="00000000" w:rsidRDefault="00000000" w:rsidRPr="00000000" w14:paraId="00000036">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Jaana SALMI</w:t>
            </w:r>
          </w:p>
          <w:p w:rsidR="00000000" w:rsidDel="00000000" w:rsidP="00000000" w:rsidRDefault="00000000" w:rsidRPr="00000000" w14:paraId="00000037">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Anne </w:t>
            </w:r>
            <w:r w:rsidDel="00000000" w:rsidR="00000000" w:rsidRPr="00000000">
              <w:rPr>
                <w:rFonts w:ascii="Arial" w:cs="Arial" w:eastAsia="Arial" w:hAnsi="Arial"/>
                <w:color w:val="232e6c"/>
                <w:sz w:val="20"/>
                <w:szCs w:val="20"/>
                <w:rtl w:val="0"/>
              </w:rPr>
              <w:t xml:space="preserve">SIMOINEN</w:t>
            </w:r>
            <w:r w:rsidDel="00000000" w:rsidR="00000000" w:rsidRPr="00000000">
              <w:rPr>
                <w:rFonts w:ascii="Arial" w:cs="Arial" w:eastAsia="Arial" w:hAnsi="Arial"/>
                <w:color w:val="232e6c"/>
                <w:sz w:val="20"/>
                <w:szCs w:val="20"/>
                <w:rtl w:val="0"/>
              </w:rPr>
              <w:t xml:space="preserve">-PAJARINEN</w:t>
            </w:r>
          </w:p>
          <w:p w:rsidR="00000000" w:rsidDel="00000000" w:rsidP="00000000" w:rsidRDefault="00000000" w:rsidRPr="00000000" w14:paraId="00000038">
            <w:pPr>
              <w:widowControl w:val="0"/>
              <w:spacing w:after="0" w:line="240" w:lineRule="auto"/>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rtl w:val="0"/>
              </w:rPr>
              <w:t xml:space="preserve">Tanja TOIVONEN</w:t>
            </w:r>
            <w:r w:rsidDel="00000000" w:rsidR="00000000" w:rsidRPr="00000000">
              <w:rPr>
                <w:rtl w:val="0"/>
              </w:rPr>
            </w:r>
          </w:p>
          <w:p w:rsidR="00000000" w:rsidDel="00000000" w:rsidP="00000000" w:rsidRDefault="00000000" w:rsidRPr="00000000" w14:paraId="00000039">
            <w:pPr>
              <w:widowControl w:val="0"/>
              <w:spacing w:after="0" w:line="240" w:lineRule="auto"/>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Toimintakulttuuriin ja oppimisympäristöjen kehittämiseen liittyvät tavoitteet </w:t>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3D">
            <w:pPr>
              <w:widowControl w:val="0"/>
              <w:spacing w:after="200" w:line="240" w:lineRule="auto"/>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u w:val="single"/>
                <w:rtl w:val="0"/>
              </w:rPr>
              <w:t xml:space="preserve">Yhteinen osio</w:t>
            </w:r>
          </w:p>
          <w:p w:rsidR="00000000" w:rsidDel="00000000" w:rsidP="00000000" w:rsidRDefault="00000000" w:rsidRPr="00000000" w14:paraId="0000003E">
            <w:pPr>
              <w:widowControl w:val="0"/>
              <w:spacing w:after="20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Jokainen työntekijä on velvoitettu perehtymään varhaiskasvatus- ja esiopetussuunnitelmaan. Lohja on myös lapsiystävällinen kunta, jokainen työntekijä on velvoitettu perehtymään lasten oikeuksiin ja suorittamaan siihen liittyvän koulutuksen. Kaikessa toiminnassa aikuisen oma esimerkki ja malli ovat merkittävässä roolissa.</w:t>
            </w:r>
          </w:p>
          <w:p w:rsidR="00000000" w:rsidDel="00000000" w:rsidP="00000000" w:rsidRDefault="00000000" w:rsidRPr="00000000" w14:paraId="0000003F">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Tiloja käytetään joustavasti pienryhmittämällä ja toimintaa porrastamalla. Lapset ovat osallisina oppimisympäristöjen suunnittelussa, muokkaamisessa ja arvioinnissa läpi toimintavuoden. Oppimisympäristöjä muokataan joustavasti lasten tarpeiden ja kiinnostuksen kohteiden mukaan, huomioiden ryhmän monipuolinen kieli- ja kulttuuritausta. Oppimisympäristöjen avulla rikastamme tavoitteellisesti sekä omaehtoista että ohjattua leikkiä ja vahvistamme leikin avulla opeteltavia taitoja. Erityisesti huomioidaan ympäröivän luonnon hyödyntäminen ja jokainen ryhmä retkeilee kerran viikossa (metsässä) ympäri vuoden.</w:t>
            </w:r>
          </w:p>
          <w:p w:rsidR="00000000" w:rsidDel="00000000" w:rsidP="00000000" w:rsidRDefault="00000000" w:rsidRPr="00000000" w14:paraId="00000040">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1">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Toimintakulttuuri ja oppimisympäristöt tukevat lasten liikunnallisen elämäntavan edistämistä liikuntasuositusten mukaan, tavoitteena aktiivista liikkumista minimissään 2h päivässä. Arjessa mahdollistetaan liikkuminen luomalla liikkumiseen sallivia ja innostavia mahdollisuuksia ja liikuntavälineet ovat lasten saatavilla. Vältämme pitkiä istumisjaksoja ja paikkallaanoloa tauotetaan.</w:t>
            </w:r>
          </w:p>
          <w:p w:rsidR="00000000" w:rsidDel="00000000" w:rsidP="00000000" w:rsidRDefault="00000000" w:rsidRPr="00000000" w14:paraId="00000042">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3">
            <w:pPr>
              <w:widowControl w:val="0"/>
              <w:spacing w:after="0" w:line="240" w:lineRule="auto"/>
              <w:rPr>
                <w:rFonts w:ascii="Arial" w:cs="Arial" w:eastAsia="Arial" w:hAnsi="Arial"/>
                <w:color w:val="232e6d"/>
                <w:sz w:val="20"/>
                <w:szCs w:val="20"/>
              </w:rPr>
            </w:pPr>
            <w:r w:rsidDel="00000000" w:rsidR="00000000" w:rsidRPr="00000000">
              <w:rPr>
                <w:rFonts w:ascii="Arial" w:cs="Arial" w:eastAsia="Arial" w:hAnsi="Arial"/>
                <w:color w:val="232e6c"/>
                <w:sz w:val="20"/>
                <w:szCs w:val="20"/>
                <w:rtl w:val="0"/>
              </w:rPr>
              <w:t xml:space="preserve">J</w:t>
            </w:r>
            <w:r w:rsidDel="00000000" w:rsidR="00000000" w:rsidRPr="00000000">
              <w:rPr>
                <w:rFonts w:ascii="Arial" w:cs="Arial" w:eastAsia="Arial" w:hAnsi="Arial"/>
                <w:color w:val="232e6d"/>
                <w:sz w:val="20"/>
                <w:szCs w:val="20"/>
                <w:rtl w:val="0"/>
              </w:rPr>
              <w:t xml:space="preserve">okaisella ryhmällä on käytössään tunnetaitomateriaali, joiden avulla vahvistetaan kaveri- ja tunnetaitoja. Lukutaitoon liittyviä asioita käsitellään vähintään kahdesti vuodessa varhaiskasvatuksen henkilökunnan kokouksissa. Yksiköissä luetaan päivittäin jokaiselle lapselle, mieluusti omaäänisesti. </w:t>
            </w:r>
          </w:p>
          <w:p w:rsidR="00000000" w:rsidDel="00000000" w:rsidP="00000000" w:rsidRDefault="00000000" w:rsidRPr="00000000" w14:paraId="00000044">
            <w:pPr>
              <w:widowControl w:val="0"/>
              <w:spacing w:after="0" w:line="240" w:lineRule="auto"/>
              <w:rPr>
                <w:rFonts w:ascii="Arial" w:cs="Arial" w:eastAsia="Arial" w:hAnsi="Arial"/>
                <w:color w:val="232e6d"/>
                <w:sz w:val="20"/>
                <w:szCs w:val="20"/>
              </w:rPr>
            </w:pPr>
            <w:r w:rsidDel="00000000" w:rsidR="00000000" w:rsidRPr="00000000">
              <w:rPr>
                <w:rtl w:val="0"/>
              </w:rPr>
            </w:r>
          </w:p>
          <w:p w:rsidR="00000000" w:rsidDel="00000000" w:rsidP="00000000" w:rsidRDefault="00000000" w:rsidRPr="00000000" w14:paraId="00000045">
            <w:pPr>
              <w:widowControl w:val="0"/>
              <w:spacing w:after="0" w:line="240" w:lineRule="auto"/>
              <w:rPr>
                <w:rFonts w:ascii="Arial" w:cs="Arial" w:eastAsia="Arial" w:hAnsi="Arial"/>
                <w:b w:val="1"/>
                <w:bCs w:val="1"/>
                <w:color w:val="232e6d"/>
                <w:sz w:val="20"/>
                <w:szCs w:val="20"/>
              </w:rPr>
            </w:pPr>
            <w:r w:rsidDel="00000000" w:rsidR="00000000" w:rsidRPr="00000000">
              <w:rPr>
                <w:rFonts w:ascii="Arial" w:cs="Arial" w:eastAsia="Arial" w:hAnsi="Arial"/>
                <w:b w:val="1"/>
                <w:bCs w:val="1"/>
                <w:color w:val="232e6d"/>
                <w:sz w:val="20"/>
                <w:szCs w:val="20"/>
                <w:rtl w:val="0"/>
              </w:rPr>
              <w:t xml:space="preserve">Jokaisessa yksikössä järjestetään jonkinlainen lukuhaaste tai -tempaus lukuvuosittain, näiden lisäksi osallistutaan kaupunkitasoisiin tapahtumiin. Sekä lukumateriaalit että kirjallisuuspohjaiset prosessit ja tuotokset ovat esillä. Näiden lisäksi kirjastossa tai kirjastoautolla vieraillaan säännöllisesti. Lukemisen tärkeyttä ja iloa tuodaan esille. Taapero tykkää tarinoista-esite jaetaan varhaiskasvatuksen kautta kaikille 2-vuotiaiden lasten huoltajille. Päiväkodit hankkivat kirjoja ja muuta innostavaa ja monipuolista luettavaa. Lasten osallistuminen kirjahankintoihin ja lukutapahtumien suunnitteluun mahdollistetaan. </w:t>
            </w:r>
          </w:p>
          <w:p w:rsidR="00000000" w:rsidDel="00000000" w:rsidP="00000000" w:rsidRDefault="00000000" w:rsidRPr="00000000" w14:paraId="00000046">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7">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8">
            <w:pPr>
              <w:widowControl w:val="0"/>
              <w:spacing w:after="0" w:line="240" w:lineRule="auto"/>
              <w:rPr>
                <w:rFonts w:ascii="Arial" w:cs="Arial" w:eastAsia="Arial" w:hAnsi="Arial"/>
                <w:b w:val="1"/>
                <w:bCs w:val="1"/>
                <w:color w:val="232e6d"/>
                <w:sz w:val="20"/>
                <w:szCs w:val="20"/>
                <w:u w:val="single"/>
              </w:rPr>
            </w:pPr>
            <w:r w:rsidDel="00000000" w:rsidR="00000000" w:rsidRPr="00000000">
              <w:rPr>
                <w:rFonts w:ascii="Arial" w:cs="Arial" w:eastAsia="Arial" w:hAnsi="Arial"/>
                <w:b w:val="1"/>
                <w:bCs w:val="1"/>
                <w:color w:val="232e6d"/>
                <w:sz w:val="20"/>
                <w:szCs w:val="20"/>
                <w:u w:val="single"/>
                <w:rtl w:val="0"/>
              </w:rPr>
              <w:t xml:space="preserve">Yksikkötasoinen tarkennus</w:t>
            </w:r>
          </w:p>
          <w:p w:rsidR="00000000" w:rsidDel="00000000" w:rsidP="00000000" w:rsidRDefault="00000000" w:rsidRPr="00000000" w14:paraId="00000049">
            <w:pPr>
              <w:widowControl w:val="0"/>
              <w:spacing w:after="0" w:line="240" w:lineRule="auto"/>
              <w:rPr>
                <w:rFonts w:ascii="Arial" w:cs="Arial" w:eastAsia="Arial" w:hAnsi="Arial"/>
                <w:b w:val="1"/>
                <w:bCs w:val="1"/>
                <w:color w:val="232e6d"/>
                <w:sz w:val="20"/>
                <w:szCs w:val="20"/>
                <w:u w:val="single"/>
              </w:rPr>
            </w:pPr>
            <w:r w:rsidDel="00000000" w:rsidR="00000000" w:rsidRPr="00000000">
              <w:rPr>
                <w:rtl w:val="0"/>
              </w:rPr>
            </w:r>
          </w:p>
          <w:p w:rsidR="00000000" w:rsidDel="00000000" w:rsidP="00000000" w:rsidRDefault="00000000" w:rsidRPr="00000000" w14:paraId="0000004A">
            <w:pPr>
              <w:widowControl w:val="0"/>
              <w:spacing w:after="0" w:line="240" w:lineRule="auto"/>
              <w:rPr>
                <w:rFonts w:ascii="Arial" w:cs="Arial" w:eastAsia="Arial" w:hAnsi="Arial"/>
                <w:color w:val="232e6d"/>
                <w:sz w:val="20"/>
                <w:szCs w:val="20"/>
                <w:u w:val="single"/>
              </w:rPr>
            </w:pPr>
            <w:r w:rsidDel="00000000" w:rsidR="00000000" w:rsidRPr="00000000">
              <w:rPr>
                <w:rtl w:val="0"/>
              </w:rPr>
            </w:r>
          </w:p>
          <w:p w:rsidR="00000000" w:rsidDel="00000000" w:rsidP="00000000" w:rsidRDefault="00000000" w:rsidRPr="00000000" w14:paraId="0000004B">
            <w:pPr>
              <w:widowControl w:val="0"/>
              <w:numPr>
                <w:ilvl w:val="0"/>
                <w:numId w:val="1"/>
              </w:numPr>
              <w:spacing w:after="0" w:line="240" w:lineRule="auto"/>
              <w:ind w:left="720" w:hanging="360"/>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Käytössä olevat tunnetaito materiaalit:  Kaapuset, tunnekuvat, Ympyriäiset, Piki- ja Fannikirjat</w:t>
            </w:r>
          </w:p>
          <w:p w:rsidR="00000000" w:rsidDel="00000000" w:rsidP="00000000" w:rsidRDefault="00000000" w:rsidRPr="00000000" w14:paraId="0000004C">
            <w:pPr>
              <w:widowControl w:val="0"/>
              <w:spacing w:after="0" w:line="240" w:lineRule="auto"/>
              <w:ind w:left="720" w:firstLine="0"/>
              <w:rPr>
                <w:rFonts w:ascii="Arial" w:cs="Arial" w:eastAsia="Arial" w:hAnsi="Arial"/>
                <w:color w:val="232e6d"/>
                <w:sz w:val="20"/>
                <w:szCs w:val="20"/>
              </w:rPr>
            </w:pPr>
            <w:r w:rsidDel="00000000" w:rsidR="00000000" w:rsidRPr="00000000">
              <w:rPr>
                <w:rtl w:val="0"/>
              </w:rPr>
            </w:r>
          </w:p>
          <w:p w:rsidR="00000000" w:rsidDel="00000000" w:rsidP="00000000" w:rsidRDefault="00000000" w:rsidRPr="00000000" w14:paraId="0000004D">
            <w:pPr>
              <w:widowControl w:val="0"/>
              <w:numPr>
                <w:ilvl w:val="0"/>
                <w:numId w:val="1"/>
              </w:numPr>
              <w:spacing w:after="0" w:line="240" w:lineRule="auto"/>
              <w:ind w:left="720" w:hanging="360"/>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Eri kieli- ja kulttuuritaustat sekä kulttuurinen moninaisuus tehdään näkyväksi etenkin  puhumalla  ja nimeämällä asioita pienessä ryhmässä. Kulttuurin huomioidaan esimerkiksi syntymäpäivän vietossa.</w:t>
            </w:r>
          </w:p>
          <w:p w:rsidR="00000000" w:rsidDel="00000000" w:rsidP="00000000" w:rsidRDefault="00000000" w:rsidRPr="00000000" w14:paraId="0000004E">
            <w:pPr>
              <w:widowControl w:val="0"/>
              <w:numPr>
                <w:ilvl w:val="0"/>
                <w:numId w:val="1"/>
              </w:numPr>
              <w:spacing w:after="0" w:line="240" w:lineRule="auto"/>
              <w:ind w:left="720" w:hanging="360"/>
              <w:rPr>
                <w:rFonts w:ascii="Arial" w:cs="Arial" w:eastAsia="Arial" w:hAnsi="Arial"/>
                <w:color w:val="232e6d"/>
                <w:sz w:val="20"/>
                <w:szCs w:val="20"/>
                <w:u w:val="none"/>
              </w:rPr>
            </w:pPr>
            <w:r w:rsidDel="00000000" w:rsidR="00000000" w:rsidRPr="00000000">
              <w:rPr>
                <w:rFonts w:ascii="Arial" w:cs="Arial" w:eastAsia="Arial" w:hAnsi="Arial"/>
                <w:color w:val="232e6d"/>
                <w:sz w:val="20"/>
                <w:szCs w:val="20"/>
                <w:rtl w:val="0"/>
              </w:rPr>
              <w:t xml:space="preserve">Perhepäivähoitajat käyvät paljon kirjastossa ja hyödyntävät kirjaston satutunteja</w:t>
            </w:r>
          </w:p>
          <w:p w:rsidR="00000000" w:rsidDel="00000000" w:rsidP="00000000" w:rsidRDefault="00000000" w:rsidRPr="00000000" w14:paraId="0000004F">
            <w:pPr>
              <w:widowControl w:val="0"/>
              <w:spacing w:after="0" w:line="240" w:lineRule="auto"/>
              <w:ind w:left="720" w:firstLine="0"/>
              <w:rPr>
                <w:rFonts w:ascii="Arial" w:cs="Arial" w:eastAsia="Arial" w:hAnsi="Arial"/>
                <w:color w:val="232e6d"/>
                <w:sz w:val="20"/>
                <w:szCs w:val="20"/>
              </w:rPr>
            </w:pPr>
            <w:r w:rsidDel="00000000" w:rsidR="00000000" w:rsidRPr="00000000">
              <w:rPr>
                <w:rtl w:val="0"/>
              </w:rPr>
            </w:r>
          </w:p>
          <w:p w:rsidR="00000000" w:rsidDel="00000000" w:rsidP="00000000" w:rsidRDefault="00000000" w:rsidRPr="00000000" w14:paraId="00000050">
            <w:pPr>
              <w:widowControl w:val="0"/>
              <w:numPr>
                <w:ilvl w:val="0"/>
                <w:numId w:val="1"/>
              </w:numPr>
              <w:spacing w:after="0" w:line="240" w:lineRule="auto"/>
              <w:ind w:left="720" w:hanging="360"/>
              <w:rPr>
                <w:rFonts w:ascii="Arial" w:cs="Arial" w:eastAsia="Arial" w:hAnsi="Arial"/>
                <w:color w:val="232e6d"/>
                <w:sz w:val="20"/>
                <w:szCs w:val="20"/>
                <w:u w:val="none"/>
              </w:rPr>
            </w:pPr>
            <w:r w:rsidDel="00000000" w:rsidR="00000000" w:rsidRPr="00000000">
              <w:rPr>
                <w:rFonts w:ascii="Arial" w:cs="Arial" w:eastAsia="Arial" w:hAnsi="Arial"/>
                <w:color w:val="232e6d"/>
                <w:sz w:val="20"/>
                <w:szCs w:val="20"/>
                <w:rtl w:val="0"/>
              </w:rPr>
              <w:t xml:space="preserve">Perhepäivähoidolla käytössä 2 kiertävää kirjakassia, joihin lukututor on valinnut sopivia kirjoja.</w:t>
            </w:r>
          </w:p>
          <w:p w:rsidR="00000000" w:rsidDel="00000000" w:rsidP="00000000" w:rsidRDefault="00000000" w:rsidRPr="00000000" w14:paraId="00000051">
            <w:pPr>
              <w:widowControl w:val="0"/>
              <w:spacing w:after="0" w:line="240" w:lineRule="auto"/>
              <w:rPr>
                <w:rFonts w:ascii="Arial" w:cs="Arial" w:eastAsia="Arial" w:hAnsi="Arial"/>
                <w:color w:val="002060"/>
                <w:sz w:val="20"/>
                <w:szCs w:val="20"/>
              </w:rPr>
            </w:pPr>
            <w:r w:rsidDel="00000000" w:rsidR="00000000" w:rsidRPr="00000000">
              <w:rPr>
                <w:rtl w:val="0"/>
              </w:rPr>
            </w:r>
          </w:p>
        </w:tc>
      </w:tr>
      <w:tr>
        <w:trPr>
          <w:cantSplit w:val="0"/>
          <w:trHeight w:val="495"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53">
            <w:pPr>
              <w:spacing w:after="240" w:line="276" w:lineRule="auto"/>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rtl w:val="0"/>
              </w:rPr>
              <w:t xml:space="preserve">Yhteistyöhön liittyviä käytäntöjä</w:t>
            </w:r>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55">
            <w:pPr>
              <w:widowControl w:val="0"/>
              <w:spacing w:after="20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u w:val="single"/>
                <w:rtl w:val="0"/>
              </w:rPr>
              <w:t xml:space="preserve">Yhteinen osio</w:t>
            </w:r>
            <w:r w:rsidDel="00000000" w:rsidR="00000000" w:rsidRPr="00000000">
              <w:rPr>
                <w:rtl w:val="0"/>
              </w:rPr>
            </w:r>
          </w:p>
          <w:p w:rsidR="00000000" w:rsidDel="00000000" w:rsidP="00000000" w:rsidRDefault="00000000" w:rsidRPr="00000000" w14:paraId="00000056">
            <w:pPr>
              <w:widowControl w:val="0"/>
              <w:spacing w:after="200" w:line="240" w:lineRule="auto"/>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Yhteistyö perustuu luottamukseen, molemminpuoliseen kunnioitukseen, kuuntelemiseen ja perheiden erilaisten tilanteiden huomioimiseen.Yhteistyötä tehdään sekä yksilö- että yhteisötasolla. Huoltajien toiveissa korostuu kohtaamisen merkitys, avoimuus, aktiivisuus ja ajantasaisuus. Hyödynnämme arjessa haku- ja tuontitilanteissa keskustelemista sekä sähköistä viestintää. Huoltajien kanssa pidetään kaksi kertaa vuodessa esiopetuskeskustelu, jossa lapsi on mukana. Varhaiskasvatuksessa keskustelut pidetään vähintään kerran vuodessa huoltajien kanssa. Yhteistyötä tehdään myös muiden toimijoiden kanssa yhteisten palaverikäytänteiden avulla. Siirtymävaiheiden osalta käytössä on yleinen ohjeistus koskien siirtymävaihetta esiopetuksesta perusopetukseen.</w:t>
            </w:r>
          </w:p>
          <w:p w:rsidR="00000000" w:rsidDel="00000000" w:rsidP="00000000" w:rsidRDefault="00000000" w:rsidRPr="00000000" w14:paraId="00000057">
            <w:pPr>
              <w:widowControl w:val="0"/>
              <w:spacing w:after="0" w:line="240" w:lineRule="auto"/>
              <w:rPr>
                <w:rFonts w:ascii="Arial" w:cs="Arial" w:eastAsia="Arial" w:hAnsi="Arial"/>
                <w:b w:val="1"/>
                <w:bCs w:val="1"/>
                <w:color w:val="232e6d"/>
                <w:sz w:val="20"/>
                <w:szCs w:val="20"/>
                <w:u w:val="single"/>
              </w:rPr>
            </w:pPr>
            <w:r w:rsidDel="00000000" w:rsidR="00000000" w:rsidRPr="00000000">
              <w:rPr>
                <w:rFonts w:ascii="Arial" w:cs="Arial" w:eastAsia="Arial" w:hAnsi="Arial"/>
                <w:b w:val="1"/>
                <w:bCs w:val="1"/>
                <w:color w:val="232e6d"/>
                <w:sz w:val="20"/>
                <w:szCs w:val="20"/>
                <w:u w:val="single"/>
                <w:rtl w:val="0"/>
              </w:rPr>
              <w:t xml:space="preserve">Yksikkötasoinen tarkennus</w:t>
            </w:r>
          </w:p>
          <w:p w:rsidR="00000000" w:rsidDel="00000000" w:rsidP="00000000" w:rsidRDefault="00000000" w:rsidRPr="00000000" w14:paraId="00000058">
            <w:pPr>
              <w:widowControl w:val="0"/>
              <w:spacing w:after="0" w:line="240" w:lineRule="auto"/>
              <w:rPr>
                <w:rFonts w:ascii="Arial" w:cs="Arial" w:eastAsia="Arial" w:hAnsi="Arial"/>
                <w:b w:val="1"/>
                <w:bCs w:val="1"/>
                <w:color w:val="232e6d"/>
                <w:sz w:val="20"/>
                <w:szCs w:val="20"/>
                <w:u w:val="single"/>
              </w:rPr>
            </w:pPr>
            <w:r w:rsidDel="00000000" w:rsidR="00000000" w:rsidRPr="00000000">
              <w:rPr>
                <w:rtl w:val="0"/>
              </w:rPr>
            </w:r>
          </w:p>
          <w:p w:rsidR="00000000" w:rsidDel="00000000" w:rsidP="00000000" w:rsidRDefault="00000000" w:rsidRPr="00000000" w14:paraId="00000059">
            <w:pPr>
              <w:widowControl w:val="0"/>
              <w:numPr>
                <w:ilvl w:val="0"/>
                <w:numId w:val="2"/>
              </w:numPr>
              <w:spacing w:after="0" w:line="240" w:lineRule="auto"/>
              <w:ind w:left="720" w:hanging="360"/>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Tapoja yhteistyön toteutumiselle huoltajien toiveet ja palaute huomioiden: päivittäin keskustelua tulo- ja lähtö hetkissä. Tiedottaminen WA, puhelinkeskustelut, Kerätään toiveita ja hyödynnetään huoltajan asiantuntemusta lapsen asioissa. Vasu- ja aloituskeskustelut.</w:t>
            </w:r>
          </w:p>
          <w:p w:rsidR="00000000" w:rsidDel="00000000" w:rsidP="00000000" w:rsidRDefault="00000000" w:rsidRPr="00000000" w14:paraId="0000005A">
            <w:pPr>
              <w:widowControl w:val="0"/>
              <w:spacing w:after="0" w:line="240" w:lineRule="auto"/>
              <w:rPr>
                <w:rFonts w:ascii="Arial" w:cs="Arial" w:eastAsia="Arial" w:hAnsi="Arial"/>
                <w:b w:val="1"/>
                <w:bCs w:val="1"/>
                <w:color w:val="232e6d"/>
                <w:sz w:val="20"/>
                <w:szCs w:val="20"/>
                <w:u w:val="single"/>
              </w:rPr>
            </w:pPr>
            <w:r w:rsidDel="00000000" w:rsidR="00000000" w:rsidRPr="00000000">
              <w:rPr>
                <w:rtl w:val="0"/>
              </w:rPr>
            </w:r>
          </w:p>
          <w:p w:rsidR="00000000" w:rsidDel="00000000" w:rsidP="00000000" w:rsidRDefault="00000000" w:rsidRPr="00000000" w14:paraId="0000005B">
            <w:pPr>
              <w:widowControl w:val="0"/>
              <w:spacing w:after="0" w:line="240" w:lineRule="auto"/>
              <w:rPr>
                <w:rFonts w:ascii="Arial" w:cs="Arial" w:eastAsia="Arial" w:hAnsi="Arial"/>
                <w:color w:val="232e6c"/>
                <w:sz w:val="20"/>
                <w:szCs w:val="20"/>
                <w:u w:val="single"/>
              </w:rPr>
            </w:pPr>
            <w:r w:rsidDel="00000000" w:rsidR="00000000" w:rsidRPr="00000000">
              <w:rPr>
                <w:rtl w:val="0"/>
              </w:rPr>
            </w:r>
          </w:p>
        </w:tc>
      </w:tr>
      <w:tr>
        <w:trPr>
          <w:cantSplit w:val="0"/>
          <w:trHeight w:val="400"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5D">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Toiminnallisen tasa-arvotyön ja yhdenvertaisuuden edistämisen suunnitelma</w:t>
            </w:r>
          </w:p>
          <w:p w:rsidR="00000000" w:rsidDel="00000000" w:rsidP="00000000" w:rsidRDefault="00000000" w:rsidRPr="00000000" w14:paraId="0000005E">
            <w:pPr>
              <w:rPr>
                <w:rFonts w:ascii="Arial" w:cs="Arial" w:eastAsia="Arial" w:hAnsi="Arial"/>
                <w:color w:val="232e6c"/>
                <w:sz w:val="20"/>
                <w:szCs w:val="20"/>
              </w:rPr>
            </w:pPr>
            <w:hyperlink r:id="rId9">
              <w:r w:rsidDel="00000000" w:rsidR="00000000" w:rsidRPr="00000000">
                <w:rPr>
                  <w:rFonts w:ascii="Arial" w:cs="Arial" w:eastAsia="Arial" w:hAnsi="Arial"/>
                  <w:color w:val="0000ee"/>
                  <w:sz w:val="20"/>
                  <w:szCs w:val="20"/>
                  <w:u w:val="single"/>
                  <w:rtl w:val="0"/>
                </w:rPr>
                <w:t xml:space="preserve">2025 TOIMINNALLISET SUUNNITELMAPOHJAT PPH</w:t>
              </w:r>
            </w:hyperlink>
            <w:r w:rsidDel="00000000" w:rsidR="00000000" w:rsidRPr="00000000">
              <w:rPr>
                <w:rtl w:val="0"/>
              </w:rPr>
            </w:r>
          </w:p>
          <w:p w:rsidR="00000000" w:rsidDel="00000000" w:rsidP="00000000" w:rsidRDefault="00000000" w:rsidRPr="00000000" w14:paraId="0000005F">
            <w:pPr>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17.1.2025 (koonti) Perhepäivähoitajat havainnoivat omaa toimintaansa kyselyn avulla</w:t>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u w:val="single"/>
                <w:rtl w:val="0"/>
              </w:rPr>
              <w:t xml:space="preserve">Teema / tavoite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63">
            <w:pPr>
              <w:widowControl w:val="0"/>
              <w:spacing w:after="0" w:line="240" w:lineRule="auto"/>
              <w:rPr>
                <w:rFonts w:ascii="Arial" w:cs="Arial" w:eastAsia="Arial" w:hAnsi="Arial"/>
                <w:b w:val="1"/>
                <w:bCs w:val="1"/>
                <w:color w:val="073763"/>
                <w:sz w:val="20"/>
                <w:szCs w:val="20"/>
              </w:rPr>
            </w:pPr>
            <w:r w:rsidDel="00000000" w:rsidR="00000000" w:rsidRPr="00000000">
              <w:rPr>
                <w:rFonts w:ascii="Arial" w:cs="Arial" w:eastAsia="Arial" w:hAnsi="Arial"/>
                <w:color w:val="073763"/>
                <w:sz w:val="20"/>
                <w:szCs w:val="20"/>
                <w:rtl w:val="0"/>
              </w:rPr>
              <w:t xml:space="preserve">Vuorovaikutuksen sensitiivisyys ja ilmaisun tavat,</w:t>
            </w:r>
            <w:r w:rsidDel="00000000" w:rsidR="00000000" w:rsidRPr="00000000">
              <w:rPr>
                <w:rFonts w:ascii="Arial" w:cs="Arial" w:eastAsia="Arial" w:hAnsi="Arial"/>
                <w:b w:val="1"/>
                <w:bCs w:val="1"/>
                <w:color w:val="073763"/>
                <w:sz w:val="20"/>
                <w:szCs w:val="20"/>
                <w:rtl w:val="0"/>
              </w:rPr>
              <w:t xml:space="preserve"> tasa-arvoinen ja yhdenmukainen vuorovaikutus</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u w:val="single"/>
                <w:rtl w:val="0"/>
              </w:rPr>
              <w:t xml:space="preserve">Kehittämistoimet, arviointi ja vastuuhenkilöt</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69">
            <w:pPr>
              <w:widowControl w:val="0"/>
              <w:spacing w:after="0" w:lin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KEHITTÄMISTOIMET:</w:t>
            </w:r>
          </w:p>
          <w:p w:rsidR="00000000" w:rsidDel="00000000" w:rsidP="00000000" w:rsidRDefault="00000000" w:rsidRPr="00000000" w14:paraId="0000006A">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6B">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ryhmässä ei kannata olla useaa alle 3-vuotiasta.</w:t>
            </w:r>
          </w:p>
          <w:p w:rsidR="00000000" w:rsidDel="00000000" w:rsidP="00000000" w:rsidRDefault="00000000" w:rsidRPr="00000000" w14:paraId="0000006C">
            <w:pPr>
              <w:widowControl w:val="0"/>
              <w:spacing w:after="0" w:line="240" w:lineRule="auto"/>
              <w:rPr>
                <w:rFonts w:ascii="Arial" w:cs="Arial" w:eastAsia="Arial" w:hAnsi="Arial"/>
                <w:color w:val="232e6c"/>
                <w:sz w:val="20"/>
                <w:szCs w:val="20"/>
              </w:rPr>
            </w:pPr>
            <w:sdt>
              <w:sdtPr>
                <w:id w:val="892481223"/>
                <w:tag w:val="goog_rdk_0"/>
              </w:sdtPr>
              <w:sdtContent>
                <w:r w:rsidDel="00000000" w:rsidR="00000000" w:rsidRPr="00000000">
                  <w:rPr>
                    <w:rFonts w:ascii="Arial Unicode MS" w:cs="Arial Unicode MS" w:eastAsia="Arial Unicode MS" w:hAnsi="Arial Unicode MS"/>
                    <w:color w:val="232e6c"/>
                    <w:sz w:val="20"/>
                    <w:szCs w:val="20"/>
                    <w:rtl w:val="0"/>
                  </w:rPr>
                  <w:t xml:space="preserve">→panostus ryhmien muodostamiseen </w:t>
                </w:r>
              </w:sdtContent>
            </w:sdt>
          </w:p>
          <w:p w:rsidR="00000000" w:rsidDel="00000000" w:rsidP="00000000" w:rsidRDefault="00000000" w:rsidRPr="00000000" w14:paraId="0000006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6E">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Väsymys, jos nukkunut huonot yöunet silloin on yritettävä vain jaksaa</w:t>
            </w:r>
          </w:p>
          <w:p w:rsidR="00000000" w:rsidDel="00000000" w:rsidP="00000000" w:rsidRDefault="00000000" w:rsidRPr="00000000" w14:paraId="0000006F">
            <w:pPr>
              <w:widowControl w:val="0"/>
              <w:spacing w:after="0" w:line="240" w:lineRule="auto"/>
              <w:rPr>
                <w:rFonts w:ascii="Arial" w:cs="Arial" w:eastAsia="Arial" w:hAnsi="Arial"/>
                <w:color w:val="232e6c"/>
                <w:sz w:val="20"/>
                <w:szCs w:val="20"/>
              </w:rPr>
            </w:pPr>
            <w:sdt>
              <w:sdtPr>
                <w:id w:val="1799318598"/>
                <w:tag w:val="goog_rdk_1"/>
              </w:sdtPr>
              <w:sdtContent>
                <w:r w:rsidDel="00000000" w:rsidR="00000000" w:rsidRPr="00000000">
                  <w:rPr>
                    <w:rFonts w:ascii="Arial Unicode MS" w:cs="Arial Unicode MS" w:eastAsia="Arial Unicode MS" w:hAnsi="Arial Unicode MS"/>
                    <w:color w:val="232e6c"/>
                    <w:sz w:val="20"/>
                    <w:szCs w:val="20"/>
                    <w:rtl w:val="0"/>
                  </w:rPr>
                  <w:t xml:space="preserve">→säännöllisesti tasausvapaita.</w:t>
                </w:r>
              </w:sdtContent>
            </w:sdt>
          </w:p>
          <w:p w:rsidR="00000000" w:rsidDel="00000000" w:rsidP="00000000" w:rsidRDefault="00000000" w:rsidRPr="00000000" w14:paraId="00000070">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71">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Kiire joskus estää tasa-arvoisen kohtelun. Kun yksin tekee töitä, niin kädet eivät aina riitä.</w:t>
            </w:r>
          </w:p>
          <w:p w:rsidR="00000000" w:rsidDel="00000000" w:rsidP="00000000" w:rsidRDefault="00000000" w:rsidRPr="00000000" w14:paraId="00000072">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—&gt; kiireen tunnun pohdinta.</w:t>
            </w:r>
          </w:p>
          <w:p w:rsidR="00000000" w:rsidDel="00000000" w:rsidP="00000000" w:rsidRDefault="00000000" w:rsidRPr="00000000" w14:paraId="00000073">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74">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75">
            <w:pPr>
              <w:widowControl w:val="0"/>
              <w:spacing w:after="0" w:lin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ARVIOINTI:</w:t>
            </w:r>
          </w:p>
          <w:p w:rsidR="00000000" w:rsidDel="00000000" w:rsidP="00000000" w:rsidRDefault="00000000" w:rsidRPr="00000000" w14:paraId="00000076">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77">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-Suurin osa koki kohtaavansa lapset sensitiivisesti ja yhdenmukaisesti. </w:t>
            </w:r>
          </w:p>
          <w:p w:rsidR="00000000" w:rsidDel="00000000" w:rsidP="00000000" w:rsidRDefault="00000000" w:rsidRPr="00000000" w14:paraId="00000078">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79">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-Perhepäivähoidossa on hyvät puitteet </w:t>
            </w:r>
            <w:r w:rsidDel="00000000" w:rsidR="00000000" w:rsidRPr="00000000">
              <w:rPr>
                <w:rFonts w:ascii="Arial" w:cs="Arial" w:eastAsia="Arial" w:hAnsi="Arial"/>
                <w:color w:val="232e6c"/>
                <w:sz w:val="20"/>
                <w:szCs w:val="20"/>
                <w:rtl w:val="0"/>
              </w:rPr>
              <w:t xml:space="preserve">sensitiiviselle</w:t>
            </w:r>
            <w:r w:rsidDel="00000000" w:rsidR="00000000" w:rsidRPr="00000000">
              <w:rPr>
                <w:rFonts w:ascii="Arial" w:cs="Arial" w:eastAsia="Arial" w:hAnsi="Arial"/>
                <w:color w:val="232e6c"/>
                <w:sz w:val="20"/>
                <w:szCs w:val="20"/>
                <w:rtl w:val="0"/>
              </w:rPr>
              <w:t xml:space="preserve">, kiireettömälle arjelle.</w:t>
            </w:r>
          </w:p>
          <w:p w:rsidR="00000000" w:rsidDel="00000000" w:rsidP="00000000" w:rsidRDefault="00000000" w:rsidRPr="00000000" w14:paraId="0000007A">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7B">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7C">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Vastuuhenkilöt perhepäivähoitaja, Teija Laamanen ja Noora Ehrström</w:t>
            </w:r>
          </w:p>
          <w:p w:rsidR="00000000" w:rsidDel="00000000" w:rsidP="00000000" w:rsidRDefault="00000000" w:rsidRPr="00000000" w14:paraId="0000007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r>
        <w:trPr>
          <w:cantSplit w:val="0"/>
          <w:trHeight w:val="470.00000000000057"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81">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Suunnitelma lasten suojaamiseksi kiusaamiselta, häirinnältä, syrjinnältä ja väkivallalta </w:t>
            </w:r>
          </w:p>
          <w:p w:rsidR="00000000" w:rsidDel="00000000" w:rsidP="00000000" w:rsidRDefault="00000000" w:rsidRPr="00000000" w14:paraId="00000082">
            <w:pPr>
              <w:rPr>
                <w:rFonts w:ascii="Arial" w:cs="Arial" w:eastAsia="Arial" w:hAnsi="Arial"/>
                <w:color w:val="232e6c"/>
                <w:sz w:val="20"/>
                <w:szCs w:val="20"/>
              </w:rPr>
            </w:pPr>
            <w:hyperlink r:id="rId10">
              <w:r w:rsidDel="00000000" w:rsidR="00000000" w:rsidRPr="00000000">
                <w:rPr>
                  <w:rFonts w:ascii="Arial" w:cs="Arial" w:eastAsia="Arial" w:hAnsi="Arial"/>
                  <w:color w:val="0000ee"/>
                  <w:sz w:val="20"/>
                  <w:szCs w:val="20"/>
                  <w:u w:val="single"/>
                  <w:rtl w:val="0"/>
                </w:rPr>
                <w:t xml:space="preserve">2025 TOIMINNALLISET SUUNNITELMAPOHJAT PPH</w:t>
              </w:r>
            </w:hyperlink>
            <w:r w:rsidDel="00000000" w:rsidR="00000000" w:rsidRPr="00000000">
              <w:rPr>
                <w:rtl w:val="0"/>
              </w:rPr>
            </w:r>
          </w:p>
          <w:p w:rsidR="00000000" w:rsidDel="00000000" w:rsidP="00000000" w:rsidRDefault="00000000" w:rsidRPr="00000000" w14:paraId="00000083">
            <w:pPr>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YKSIKÖN YHTEINEN NÄKEMYS KIUSAAMISESTA, HÄIRINNÄSTÄ, SYRJINNÄSTÄ JA VÄKIVALLASTA</w:t>
            </w:r>
          </w:p>
          <w:p w:rsidR="00000000" w:rsidDel="00000000" w:rsidP="00000000" w:rsidRDefault="00000000" w:rsidRPr="00000000" w14:paraId="00000084">
            <w:pPr>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Kiusaaminen, häirintä, syrjintä ja väkivalta näyttäytyvät mm. ulkopuoliseksi jättämisenä (toistuvaa), nimittelynä, arvosteluna, tönimisenä, puremisena, ulkonäköön, ikään tai sukupuoleen liittyvänä nimittelynä (yms..), toisen kädestä ottamisena, sillä, että ei anneta tilaa toiselle tai esimerkiksi niin, että lapsi on toisen ”iholla” koko ajan, vaikka toinen ei halua.</w:t>
            </w:r>
          </w:p>
          <w:p w:rsidR="00000000" w:rsidDel="00000000" w:rsidP="00000000" w:rsidRDefault="00000000" w:rsidRPr="00000000" w14:paraId="00000085">
            <w:pPr>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Lapsilla ei tämä ei ole niinkään suunniteltua. Jos nämä teot toistuvasti kohdistuvat yhteen lapseen, ne muuttuvat kiusaamiseksi. </w:t>
            </w:r>
          </w:p>
          <w:p w:rsidR="00000000" w:rsidDel="00000000" w:rsidP="00000000" w:rsidRDefault="00000000" w:rsidRPr="00000000" w14:paraId="00000086">
            <w:pPr>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u w:val="single"/>
                <w:rtl w:val="0"/>
              </w:rPr>
              <w:t xml:space="preserve">Ilmiöiden ehkäisemisen tavat, käytännön toimet ja vastuuhenkilöt</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EHKÄISEMISEN TAVAT:</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-Hoitaja fyysisesti sekä henkisesti läsnä.</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-Ryhmäytyminen, tunteiden sanoittaminen ja yksilöinä huomioon ottaminen.</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-Varhainen puuttuminen, tunne- ja kaveritaitojen opettelu,</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-Yhteishengen luominen, empatiakyvyn vahvistaminen, positiivinen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-Ennakoiminen</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KÄYTÄNNÖN TOIMET:</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-Tehdään yhdessä ryhmänä niin, että aikuinen on läsnä</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-Luetaan yhdessä eri aiheista ja sanoitetaan tunteita.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-Annetaan tilaa toisille.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-Lapsen yksilölliset erot otetaan huomioon.</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-Opetetaan toisenlaisia tapoja toimia.</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-Puututaan heti, ettei tilanne pääse muuttumaan kiusaamiseksi.</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Vastuuhenkilöt: perhepäivähoitaja, huoltajat osallistetaan, esihenkilö</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u w:val="single"/>
                <w:rtl w:val="0"/>
              </w:rPr>
              <w:t xml:space="preserve">Ilmiöihin puuttumisen tavat, käytännön toimet ja vastuuhenkilöt</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D">
            <w:pPr>
              <w:widowControl w:val="0"/>
              <w:spacing w:after="0" w:lin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PUUTTUMISEN TAVAT:</w:t>
            </w:r>
          </w:p>
          <w:p w:rsidR="00000000" w:rsidDel="00000000" w:rsidP="00000000" w:rsidRDefault="00000000" w:rsidRPr="00000000" w14:paraId="000000AE">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F">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-Tunteiden nimeäminen ja tunteiden näyttämisen rohkaisu</w:t>
            </w:r>
          </w:p>
          <w:p w:rsidR="00000000" w:rsidDel="00000000" w:rsidP="00000000" w:rsidRDefault="00000000" w:rsidRPr="00000000" w14:paraId="000000B0">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1">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-Harjoitellaan ”pyytämään anteeksi” lapselle sopivalla tavalla.</w:t>
            </w:r>
          </w:p>
          <w:p w:rsidR="00000000" w:rsidDel="00000000" w:rsidP="00000000" w:rsidRDefault="00000000" w:rsidRPr="00000000" w14:paraId="000000B2">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3">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-Harjoitellaan selittämään tilanteita.</w:t>
            </w:r>
          </w:p>
          <w:p w:rsidR="00000000" w:rsidDel="00000000" w:rsidP="00000000" w:rsidRDefault="00000000" w:rsidRPr="00000000" w14:paraId="000000B4">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5">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-Keskustelu lasten tasolla. </w:t>
            </w:r>
          </w:p>
          <w:p w:rsidR="00000000" w:rsidDel="00000000" w:rsidP="00000000" w:rsidRDefault="00000000" w:rsidRPr="00000000" w14:paraId="000000B6">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8">
            <w:pPr>
              <w:widowControl w:val="0"/>
              <w:spacing w:after="0" w:lin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KÄYTÄNNÖN TOIMET:</w:t>
            </w:r>
          </w:p>
          <w:p w:rsidR="00000000" w:rsidDel="00000000" w:rsidP="00000000" w:rsidRDefault="00000000" w:rsidRPr="00000000" w14:paraId="000000B9">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A">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-Opetetaan vaihtoehtoisia toimintamalleja väkivallan sijaan. </w:t>
            </w:r>
          </w:p>
          <w:p w:rsidR="00000000" w:rsidDel="00000000" w:rsidP="00000000" w:rsidRDefault="00000000" w:rsidRPr="00000000" w14:paraId="000000BB">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C">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-Keskustellaan siitä, miltä tilanteet itsestä tuntuisi.</w:t>
            </w:r>
          </w:p>
          <w:p w:rsidR="00000000" w:rsidDel="00000000" w:rsidP="00000000" w:rsidRDefault="00000000" w:rsidRPr="00000000" w14:paraId="000000B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E">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-Ennakoiminen vähentää puuttumisen tarvetta. </w:t>
            </w:r>
          </w:p>
          <w:p w:rsidR="00000000" w:rsidDel="00000000" w:rsidP="00000000" w:rsidRDefault="00000000" w:rsidRPr="00000000" w14:paraId="000000BF">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0">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-Pienessä ryhmässä on helpompaa toteuttaa käytännössä.</w:t>
            </w:r>
          </w:p>
          <w:p w:rsidR="00000000" w:rsidDel="00000000" w:rsidP="00000000" w:rsidRDefault="00000000" w:rsidRPr="00000000" w14:paraId="000000C1">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2">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3">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Vastuuhenkilöt: perhepäivähoitaja, huoltajat </w:t>
            </w:r>
            <w:r w:rsidDel="00000000" w:rsidR="00000000" w:rsidRPr="00000000">
              <w:rPr>
                <w:rFonts w:ascii="Arial" w:cs="Arial" w:eastAsia="Arial" w:hAnsi="Arial"/>
                <w:color w:val="232e6c"/>
                <w:sz w:val="20"/>
                <w:szCs w:val="20"/>
                <w:rtl w:val="0"/>
              </w:rPr>
              <w:t xml:space="preserve">osallistettuna</w:t>
            </w:r>
            <w:r w:rsidDel="00000000" w:rsidR="00000000" w:rsidRPr="00000000">
              <w:rPr>
                <w:rFonts w:ascii="Arial" w:cs="Arial" w:eastAsia="Arial" w:hAnsi="Arial"/>
                <w:color w:val="232e6c"/>
                <w:sz w:val="20"/>
                <w:szCs w:val="20"/>
                <w:rtl w:val="0"/>
              </w:rPr>
              <w:t xml:space="preserve">, esihenkilö</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bl>
    <w:p w:rsidR="00000000" w:rsidDel="00000000" w:rsidP="00000000" w:rsidRDefault="00000000" w:rsidRPr="00000000" w14:paraId="000000C6">
      <w:pPr>
        <w:pageBreakBefore w:val="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7">
      <w:pPr>
        <w:pageBreakBefore w:val="0"/>
        <w:rPr>
          <w:rFonts w:ascii="Arial" w:cs="Arial" w:eastAsia="Arial" w:hAnsi="Arial"/>
          <w:color w:val="232e6c"/>
          <w:sz w:val="20"/>
          <w:szCs w:val="20"/>
        </w:rPr>
      </w:pPr>
      <w:r w:rsidDel="00000000" w:rsidR="00000000" w:rsidRPr="00000000">
        <w:rPr>
          <w:rtl w:val="0"/>
        </w:rPr>
      </w:r>
    </w:p>
    <w:sectPr>
      <w:headerReference r:id="rId11" w:type="first"/>
      <w:headerReference r:id="rId12" w:type="even"/>
      <w:footerReference r:id="rId13" w:type="first"/>
      <w:footerReference r:id="rId14" w:type="even"/>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presentation/d/1SnQGnbc0KJ6fJ10kEszeVujsO157Qufe/edit?slide=id.p1#slide=id.p1"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SnQGnbc0KJ6fJ10kEszeVujsO157Qufe/edit?slide=id.p1#slide=id.p1"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rive.google.com/file/d/17ptJjCewMo8ffoiV6Twd29UFlV0S7TVQ/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EQElqccuMigBcPaDCa7hG5NVQ==">CgMxLjAaJAoBMBIfCh0IB0IZCgVBcmlhbBIQQXJpYWwgVW5pY29kZSBNUxokCgExEh8KHQgHQhkKBUFyaWFsEhBBcmlhbCBVbmljb2RlIE1TMg5oLmVmaXNrZW5qMnFwcTIOaC51bjVyM2J4ZTg2NngyDmgudG9mamR5NjdlOHpxMg5oLms2ZjZxNGt5Y3M1YTIOaC40aHRsZGdqOGY1YjUyDmgucmZtMXM1a3VzdzVoMg5oLm04eHA2OWpsZ3EyODIOaC5xcmlwZXk5dmJ3dDI4AHIhMWs0ajNxZUNUakpyNHUwNmQ4dTBLZ1dnMUVmMm90em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