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120127" cy="129540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120127"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D">
      <w:pPr>
        <w:pStyle w:val="Title"/>
        <w:spacing w:line="753" w:lineRule="auto"/>
        <w:rPr/>
      </w:pPr>
      <w:r w:rsidDel="00000000" w:rsidR="00000000" w:rsidRPr="00000000">
        <w:rPr>
          <w:color w:val="5b9ad4"/>
          <w:rtl w:val="0"/>
        </w:rPr>
        <w:t xml:space="preserve">SPECIALUNDERVISNING OCH</w:t>
      </w:r>
      <w:r w:rsidDel="00000000" w:rsidR="00000000" w:rsidRPr="00000000">
        <w:rPr>
          <w:rtl w:val="0"/>
        </w:rPr>
      </w:r>
    </w:p>
    <w:p w:rsidR="00000000" w:rsidDel="00000000" w:rsidP="00000000" w:rsidRDefault="00000000" w:rsidRPr="00000000" w14:paraId="0000001E">
      <w:pPr>
        <w:pStyle w:val="Title"/>
        <w:spacing w:before="63" w:lineRule="auto"/>
        <w:ind w:right="1197"/>
        <w:rPr/>
      </w:pPr>
      <w:r w:rsidDel="00000000" w:rsidR="00000000" w:rsidRPr="00000000">
        <w:rPr>
          <w:color w:val="5b9ad4"/>
          <w:rtl w:val="0"/>
        </w:rPr>
        <w:t xml:space="preserve">ANNAT STÖD FÖR LÄRANDET</w:t>
      </w:r>
      <w:r w:rsidDel="00000000" w:rsidR="00000000" w:rsidRPr="00000000">
        <w:rPr>
          <w:rtl w:val="0"/>
        </w:rPr>
      </w:r>
    </w:p>
    <w:p w:rsidR="00000000" w:rsidDel="00000000" w:rsidP="00000000" w:rsidRDefault="00000000" w:rsidRPr="00000000" w14:paraId="0000001F">
      <w:pPr>
        <w:spacing w:before="225" w:lineRule="auto"/>
        <w:ind w:left="4771" w:firstLine="0"/>
        <w:rPr>
          <w:rFonts w:ascii="Calibri" w:cs="Calibri" w:eastAsia="Calibri" w:hAnsi="Calibri"/>
          <w:sz w:val="36"/>
          <w:szCs w:val="36"/>
        </w:rPr>
      </w:pPr>
      <w:r w:rsidDel="00000000" w:rsidR="00000000" w:rsidRPr="00000000">
        <w:rPr>
          <w:rFonts w:ascii="Calibri" w:cs="Calibri" w:eastAsia="Calibri" w:hAnsi="Calibri"/>
          <w:color w:val="3f3f3f"/>
          <w:sz w:val="36"/>
          <w:szCs w:val="36"/>
          <w:rtl w:val="0"/>
        </w:rPr>
        <w:t xml:space="preserve">Plan för läsåret 2024-2025</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8">
      <w:pPr>
        <w:spacing w:before="273" w:lineRule="auto"/>
        <w:ind w:left="7365" w:firstLine="0"/>
        <w:rPr>
          <w:rFonts w:ascii="Calibri" w:cs="Calibri" w:eastAsia="Calibri" w:hAnsi="Calibri"/>
          <w:sz w:val="28"/>
          <w:szCs w:val="28"/>
        </w:rPr>
        <w:sectPr>
          <w:pgSz w:h="16840" w:w="11910" w:orient="portrait"/>
          <w:pgMar w:bottom="280" w:top="360" w:left="240" w:right="240" w:header="708" w:footer="708"/>
          <w:pgNumType w:start="1"/>
        </w:sect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8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INNEHÅLL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2"/>
        </w:tabs>
        <w:spacing w:after="0" w:before="203" w:line="259" w:lineRule="auto"/>
        <w:ind w:left="1612" w:right="896"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till studerande och vårdnadshavare om stödåtgärder och tillhörande rättigheter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2"/>
        </w:tabs>
        <w:spacing w:after="0" w:before="0"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Bedömning av behovet av stödåtgärder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2"/>
        </w:tabs>
        <w:spacing w:after="0" w:before="1"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Anteckning av stödåtgärder i den personliga planen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1612" w:right="0" w:hanging="360.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Genomförande av stödet</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2"/>
        </w:tabs>
        <w:spacing w:after="0" w:before="0"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Uppföljning och utvärdering av genomförandet av stödet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12"/>
        </w:tabs>
        <w:spacing w:after="0" w:before="0"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sectPr>
          <w:footerReference r:id="rId8" w:type="default"/>
          <w:type w:val="nextPage"/>
          <w:pgSz w:h="16840" w:w="11910" w:orient="portrait"/>
          <w:pgMar w:bottom="1200" w:top="1320" w:left="240" w:right="240" w:header="0" w:footer="1002"/>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Samarbete, ansvar och arbetsfördelning</w:t>
      </w:r>
    </w:p>
    <w:p w:rsidR="00000000" w:rsidDel="00000000" w:rsidP="00000000" w:rsidRDefault="00000000" w:rsidRPr="00000000" w14:paraId="0000003D">
      <w:pPr>
        <w:spacing w:before="74" w:lineRule="auto"/>
        <w:ind w:left="892" w:firstLine="0"/>
        <w:jc w:val="both"/>
        <w:rPr>
          <w:b w:val="1"/>
          <w:sz w:val="24"/>
          <w:szCs w:val="24"/>
        </w:rPr>
      </w:pPr>
      <w:r w:rsidDel="00000000" w:rsidR="00000000" w:rsidRPr="00000000">
        <w:rPr>
          <w:b w:val="1"/>
          <w:sz w:val="24"/>
          <w:szCs w:val="24"/>
          <w:rtl w:val="0"/>
        </w:rPr>
        <w:t xml:space="preserve">I GYMNASIET - LOKAL PLAN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89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Denna plan uppdateras läsårsvis.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Verksamhetskulturen för </w:t>
      </w:r>
      <w:r w:rsidDel="00000000" w:rsidR="00000000" w:rsidRPr="00000000">
        <w:rPr>
          <w:sz w:val="24"/>
          <w:szCs w:val="24"/>
          <w:rtl w:val="0"/>
        </w:rPr>
        <w:t xml:space="preserve">Virkby gymnasium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betonar en positiv attityd, glädje i lärandet och skapandet av en hållbar framtid. Specialundervisningen och annat stöd för lärandet vid </w:t>
      </w:r>
      <w:r w:rsidDel="00000000" w:rsidR="00000000" w:rsidRPr="00000000">
        <w:rPr>
          <w:sz w:val="24"/>
          <w:szCs w:val="24"/>
          <w:rtl w:val="0"/>
        </w:rPr>
        <w:t xml:space="preserve">Virkby gymnasium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betonar för varje studerandes del välbefinnande och personlig utveckling. Alla studerande har tillgång till stöd för lärandet på lika villkor. Man strävar efter att förebygga och identifiera inlärningssvårigheter i tid. Verksamheten grundar sig på ett resurs- och lösningsfokuserat tänkesätt där den studerande uppmuntras att hitta sina egna styrkor och sätt att lära sig.</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s>
        <w:spacing w:after="0" w:before="178" w:line="259" w:lineRule="auto"/>
        <w:ind w:left="1612" w:right="896"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till studerande och vårdnadshavare om stödåtgärder och tillhörande rättigheter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59" w:lineRule="auto"/>
        <w:ind w:left="892" w:right="89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början av studierna informerar specialläraren de studerande och vårdnadshavarna om de stödåtgärder i anslutning till studierna som allmänt används i gymnasiet. Information om aktuella stödåtgärder och specialarrangemang för studentskrivningarna ges dessutom på föräldrakvällar och skolans informationstillfällen som ordnas separat. Information delas också till exempel i Wilma-meddelanden, i samband med grupphandledning och på skolans webbplats.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s>
        <w:spacing w:after="0" w:before="0"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Bedömning av behovet av stödåtgärder: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 studerandes behov av stöd i studierna bedöms i regel med hjälp av uppgifter som överförs från den grundläggande utbildningen. Grupphandledaren för de nya grupperna går igenom de studerandes anteckningar från grundskolan på stödfliken. Information om allmänt, intensifierat och särskilt stöd överförs därefter till specialläraren. Gymnasiet får information om den grundläggande utbildningen som är nödvändig för att ordna undervisningen, till exempel med en informationsöverföringsblankett, om den studerande har gett sitt tillstånd till informationsöverföring. Specialläraren sammanställer dessa uppgifter och förmedlar dem till grupphandledaren, studiehandledaren och vid behov till medlemmarna i elevhälsogruppen.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9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200" w:top="1780" w:left="240" w:right="240" w:header="0" w:footer="1002"/>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början av studierna erbjuds gymnasiestuderande möjlighet till lässcreening. I samband med screeningen finns en enkät där specialläraren får kompletterande information om den studerande och om hens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61" w:lineRule="auto"/>
        <w:ind w:left="892" w:right="8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stödbehov. På basis av screeningen erbjuds de studerande möjlighet till ett noggrannare individuellt test och en intervju.</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892" w:right="8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Lärarna och grupphandledarna följer de studerandes stödbehov och anteckningarna om det tillsammans med specialläraren och studiehandledaren. De stödåtgärder som behövs bedöms under hela gymnasietiden utifrån de stödbehov och observationer som den studerande eller vårdnadshavaren lägger fram. Kartläggningen av stödbehovet görs vid behov i samarbete med den studerande, vårdnadshavarna, lärarna och elevhälsans personal. De studerande uppmuntras att berätta om de har en sjukdom eller skada som påverkar studierna, t.ex. hörsel- eller synskada. Specialläraren kan anteckna uppgiften på stödfliken så att lärarna kan beakta den i sin undervisning. Den studerande handleds i eventuella utlåtanden om stödåtgärder för studentexamensnämnden och i att skaffa nödvändiga fortsatta utredningar och utlåtanden. Ett utlåtande kan vid sjukdom eller skada fås av en läkare. När den studerande har särskilda läs- och skrivsvårigheter och ett främmande språk som modersmål fås utlåtande av specialläraren. I en särskilt svår livssituation av skolkuratorn eller skolpsykologen. Utlåtandena ska skickas till studentexamensnämnden för vårens studentprov senast 30.11 och för höstens studentprov senast 30.4.</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5D">
      <w:pPr>
        <w:ind w:left="892" w:firstLine="0"/>
        <w:jc w:val="both"/>
        <w:rPr>
          <w:b w:val="1"/>
          <w:sz w:val="24"/>
          <w:szCs w:val="24"/>
        </w:rPr>
        <w:sectPr>
          <w:type w:val="nextPage"/>
          <w:pgSz w:h="16840" w:w="11910" w:orient="portrait"/>
          <w:pgMar w:bottom="1200" w:top="1320" w:left="240" w:right="240" w:header="0" w:footer="1002"/>
        </w:sect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s>
        <w:spacing w:after="0" w:before="74"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Anteckning av stödåtgärder i den personliga planen: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8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läroämnesspecifika stödåtgärderna planeras tillsammans med ämnesläraren. Specialläraren stöder både den studerande och lärarna i planeringen av stöd för lärandet. Vid behov konsulteras en representant för elevhälsan. För den studerande registreras en flik för stödet i Wilma med den studerandes samtycke. På blanketten antecknas specialarrangemang och stödbehov under gymnasietiden. Den studerandes stödåtgärder antecknas också i studieplanen med den studerandes samtycke. Stödplanen utvärderas och uppdateras vid behov.</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s>
        <w:spacing w:after="0" w:before="1"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Genomförande av stödet:</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 strävar efter att upptäcka behovet av stödåtgärder för studierna i tid och ingripa i dem på ett förebyggande sätt. Ämnesläraren kommer tillsammans med den studerande överens om stödåtgärder i anslutning till studierna i läroämnet om den studerande så önskar. Olika former av stödåtgärder kan vara stödundervisning, studieperioder som erbjuder stöd, annat individuellt studiestöd och kartläggning av styrkorna hos olika delområden av studierna.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892" w:right="89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Specialläraren ansvarar för lästest och specialarrangemang under gymnasiet. Hen erbjuder den studerande individuellt pedagogiskt stöd som fokuserar på att identifiera den studerandes styrkor och stärka studiefärdigheterna. Om den studerande har neuropsykiatriska problem, t.ex. ADHD/ADD, OCD &amp; Tourette, har hen möjlighet att få neuropsykiatrisk lösningsorienterad träning av en speciallärare. Träningen sker till exempel via en läkare eller elevhälsan.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892" w:right="88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200" w:top="1780" w:left="240" w:right="240" w:header="0" w:footer="1002"/>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 studerande har vid behov rätt till specialarrangemang under gymnasietiden. Specialarrangemang under gymnasietiden är tilläggstid, rätt att öka teckenstorleken, rätt till större skärm och rätt till smågruppsutrymme. Den studerande kan också ansöka om dessa specialarrangemang för studentskrivningarna, om de använts redan under studietiden.</w:t>
      </w:r>
    </w:p>
    <w:p w:rsidR="00000000" w:rsidDel="00000000" w:rsidP="00000000" w:rsidRDefault="00000000" w:rsidRPr="00000000" w14:paraId="0000006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973"/>
          <w:tab w:val="left" w:leader="none" w:pos="1974"/>
        </w:tabs>
        <w:spacing w:after="0" w:before="75" w:line="240" w:lineRule="auto"/>
        <w:ind w:left="1973" w:right="0" w:hanging="72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Stödformer som används och studieperioder i anslutning till stödet enligt ämnesgrupp:</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4"/>
        </w:tabs>
        <w:spacing w:after="0" w:before="0" w:line="276" w:lineRule="auto"/>
        <w:ind w:left="0" w:right="89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614"/>
        </w:tabs>
        <w:spacing w:after="0" w:before="0" w:line="276" w:lineRule="auto"/>
        <w:ind w:left="1612" w:right="89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 studerande har vid behov möjlighet att få stödundervisning av ämnesläraren. Stödformerna för olika läroämnen avtalas tillsammans med ämnesläraren och vid behov med elevhälsan.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4"/>
        </w:tabs>
        <w:spacing w:after="0" w:before="0" w:line="276" w:lineRule="auto"/>
        <w:ind w:left="1612" w:right="890" w:firstLine="0"/>
        <w:jc w:val="both"/>
        <w:rPr>
          <w:sz w:val="24"/>
          <w:szCs w:val="24"/>
        </w:rPr>
      </w:pPr>
      <w:r w:rsidDel="00000000" w:rsidR="00000000" w:rsidRPr="00000000">
        <w:rPr>
          <w:rtl w:val="0"/>
        </w:rPr>
      </w:r>
    </w:p>
    <w:p w:rsidR="00000000" w:rsidDel="00000000" w:rsidP="00000000" w:rsidRDefault="00000000" w:rsidRPr="00000000" w14:paraId="00000072">
      <w:pPr>
        <w:numPr>
          <w:ilvl w:val="2"/>
          <w:numId w:val="1"/>
        </w:numPr>
        <w:tabs>
          <w:tab w:val="left" w:leader="none" w:pos="1614"/>
        </w:tabs>
        <w:spacing w:line="276" w:lineRule="auto"/>
        <w:ind w:left="1612" w:right="892" w:hanging="360.99999999999994"/>
        <w:jc w:val="both"/>
        <w:sectPr>
          <w:type w:val="nextPage"/>
          <w:pgSz w:h="16840" w:w="11910" w:orient="portrait"/>
          <w:pgMar w:bottom="1200" w:top="1320" w:left="240" w:right="240" w:header="0" w:footer="1002"/>
        </w:sectPr>
      </w:pPr>
      <w:r w:rsidDel="00000000" w:rsidR="00000000" w:rsidRPr="00000000">
        <w:rPr>
          <w:sz w:val="24"/>
          <w:szCs w:val="24"/>
          <w:rtl w:val="0"/>
        </w:rPr>
        <w:t xml:space="preserve">Läxklubbar i bland annat i matematik, fysik, kemi, modersmål, engelska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2"/>
        </w:tabs>
        <w:spacing w:after="0" w:before="9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ab/>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Uppföljning och utvärdering av genomförandet av stödet</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892" w:right="88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Nyttan och genomförandet av de överenskomna stödåtgärderna följs upp och utvärderas regelbundet. Grupphandledaren, studiehandledaren, specialläraren och ämnesläraren följer tillsammans upp hur studierna framskrider och hur stödåtgärderna genomförs. Med den studerandes samtycke kan även medlemmarna i gymnasiets elevhälsogrupp delta i uppföljningen av hur stödet genomförs. Efter kartläggningen av stödbehovet funderar man på hur den studerande kan påvisa sitt kunnande på ett mångsidigt sätt, om det till exempel på grund av läs- och skrivsvårigheter är mycket utmanande att producera skriftligt. Man kommer överens om praxis i samarbete med ämnesläraren och elevhälsan. Den studerandes stödbehov uppdateras vid behov.</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12"/>
        </w:tabs>
        <w:spacing w:after="0" w:before="0" w:line="240" w:lineRule="auto"/>
        <w:ind w:left="1611"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Samarbete, ansvar och arbetsfördelning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892" w:right="88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Ämnesläraren planerar eventuella ämnesspecifika stödåtgärder tillsammans med de studerande så tidigt som möjligt. Läraren vägleder de studerande att lära sig inlärningsfärdigheter och studiemetoderna i det egna läroämnet. Utfallet av de erbjudna och genomförda stödåtgärderna utvärderas tillsammans.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892" w:right="891"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6840" w:w="11910" w:orient="portrait"/>
          <w:pgMar w:bottom="1200" w:top="1920" w:left="240" w:right="240" w:header="0" w:footer="1002"/>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 den studerandes samtycke samarbetar man med elevhälsan och andra sektorsövergripande experter. Vid behov samarbetar man kring stödåtgärderna även mellan hemmet och skolan. För grupphandledare och ämneslärare ordnas vid behov tid för gemensam planering och konsultation i anslutning till arbetet tillsammans med medlemmarna för elevhälsan, lärarna och speciallärarna.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spacing w:before="93" w:lineRule="auto"/>
        <w:ind w:left="892" w:firstLine="0"/>
        <w:rPr>
          <w:b w:val="1"/>
          <w:sz w:val="24"/>
          <w:szCs w:val="24"/>
        </w:rPr>
      </w:pPr>
      <w:r w:rsidDel="00000000" w:rsidR="00000000" w:rsidRPr="00000000">
        <w:rPr>
          <w:rtl w:val="0"/>
        </w:rPr>
      </w:r>
    </w:p>
    <w:sectPr>
      <w:type w:val="nextPage"/>
      <w:pgSz w:h="16840" w:w="11910" w:orient="portrait"/>
      <w:pgMar w:bottom="1200" w:top="1740" w:left="240" w:right="240" w:header="0" w:footer="100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6565900</wp:posOffset>
              </wp:positionH>
              <wp:positionV relativeFrom="paragraph">
                <wp:posOffset>9906000</wp:posOffset>
              </wp:positionV>
              <wp:extent cx="169545" cy="175260"/>
              <wp:effectExtent b="0" l="0" r="0" t="0"/>
              <wp:wrapNone/>
              <wp:docPr id="8" name=""/>
              <a:graphic>
                <a:graphicData uri="http://schemas.microsoft.com/office/word/2010/wordprocessingShape">
                  <wps:wsp>
                    <wps:cNvSpPr/>
                    <wps:cNvPr id="2" name="Shape 2"/>
                    <wps:spPr>
                      <a:xfrm>
                        <a:off x="5265990" y="3697133"/>
                        <a:ext cx="16002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6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6565900</wp:posOffset>
              </wp:positionH>
              <wp:positionV relativeFrom="paragraph">
                <wp:posOffset>9906000</wp:posOffset>
              </wp:positionV>
              <wp:extent cx="169545" cy="175260"/>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954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12" w:hanging="360"/>
      </w:pPr>
      <w:rPr>
        <w:rFonts w:ascii="Arial" w:cs="Arial" w:eastAsia="Arial" w:hAnsi="Arial"/>
        <w:b w:val="1"/>
        <w:i w:val="0"/>
        <w:sz w:val="24"/>
        <w:szCs w:val="24"/>
      </w:rPr>
    </w:lvl>
    <w:lvl w:ilvl="1">
      <w:start w:val="1"/>
      <w:numFmt w:val="decimal"/>
      <w:lvlText w:val="%1.%2."/>
      <w:lvlJc w:val="left"/>
      <w:pPr>
        <w:ind w:left="1973" w:hanging="720.9999999999998"/>
      </w:pPr>
      <w:rPr>
        <w:rFonts w:ascii="Arial" w:cs="Arial" w:eastAsia="Arial" w:hAnsi="Arial"/>
        <w:b w:val="0"/>
        <w:i w:val="0"/>
        <w:sz w:val="24"/>
        <w:szCs w:val="24"/>
      </w:rPr>
    </w:lvl>
    <w:lvl w:ilvl="2">
      <w:start w:val="0"/>
      <w:numFmt w:val="bullet"/>
      <w:lvlText w:val="-"/>
      <w:lvlJc w:val="left"/>
      <w:pPr>
        <w:ind w:left="1612" w:hanging="361"/>
      </w:pPr>
      <w:rPr>
        <w:rFonts w:ascii="Arial" w:cs="Arial" w:eastAsia="Arial" w:hAnsi="Arial"/>
        <w:b w:val="0"/>
        <w:i w:val="0"/>
        <w:sz w:val="24"/>
        <w:szCs w:val="24"/>
      </w:rPr>
    </w:lvl>
    <w:lvl w:ilvl="3">
      <w:start w:val="0"/>
      <w:numFmt w:val="bullet"/>
      <w:lvlText w:val="•"/>
      <w:lvlJc w:val="left"/>
      <w:pPr>
        <w:ind w:left="4079" w:hanging="361.00000000000045"/>
      </w:pPr>
      <w:rPr/>
    </w:lvl>
    <w:lvl w:ilvl="4">
      <w:start w:val="0"/>
      <w:numFmt w:val="bullet"/>
      <w:lvlText w:val="•"/>
      <w:lvlJc w:val="left"/>
      <w:pPr>
        <w:ind w:left="5128" w:hanging="361.0000000000009"/>
      </w:pPr>
      <w:rPr/>
    </w:lvl>
    <w:lvl w:ilvl="5">
      <w:start w:val="0"/>
      <w:numFmt w:val="bullet"/>
      <w:lvlText w:val="•"/>
      <w:lvlJc w:val="left"/>
      <w:pPr>
        <w:ind w:left="6178" w:hanging="361.0000000000009"/>
      </w:pPr>
      <w:rPr/>
    </w:lvl>
    <w:lvl w:ilvl="6">
      <w:start w:val="0"/>
      <w:numFmt w:val="bullet"/>
      <w:lvlText w:val="•"/>
      <w:lvlJc w:val="left"/>
      <w:pPr>
        <w:ind w:left="7228" w:hanging="361.0000000000009"/>
      </w:pPr>
      <w:rPr/>
    </w:lvl>
    <w:lvl w:ilvl="7">
      <w:start w:val="0"/>
      <w:numFmt w:val="bullet"/>
      <w:lvlText w:val="•"/>
      <w:lvlJc w:val="left"/>
      <w:pPr>
        <w:ind w:left="8277" w:hanging="361"/>
      </w:pPr>
      <w:rPr/>
    </w:lvl>
    <w:lvl w:ilvl="8">
      <w:start w:val="0"/>
      <w:numFmt w:val="bullet"/>
      <w:lvlText w:val="•"/>
      <w:lvlJc w:val="left"/>
      <w:pPr>
        <w:ind w:left="9327" w:hanging="361"/>
      </w:pPr>
      <w:rPr/>
    </w:lvl>
  </w:abstractNum>
  <w:abstractNum w:abstractNumId="2">
    <w:lvl w:ilvl="0">
      <w:start w:val="1"/>
      <w:numFmt w:val="decimal"/>
      <w:lvlText w:val="%1."/>
      <w:lvlJc w:val="left"/>
      <w:pPr>
        <w:ind w:left="1612" w:hanging="360"/>
      </w:pPr>
      <w:rPr/>
    </w:lvl>
    <w:lvl w:ilvl="1">
      <w:start w:val="0"/>
      <w:numFmt w:val="bullet"/>
      <w:lvlText w:val="•"/>
      <w:lvlJc w:val="left"/>
      <w:pPr>
        <w:ind w:left="2600" w:hanging="360"/>
      </w:pPr>
      <w:rPr/>
    </w:lvl>
    <w:lvl w:ilvl="2">
      <w:start w:val="0"/>
      <w:numFmt w:val="bullet"/>
      <w:lvlText w:val="•"/>
      <w:lvlJc w:val="left"/>
      <w:pPr>
        <w:ind w:left="3581" w:hanging="360"/>
      </w:pPr>
      <w:rPr/>
    </w:lvl>
    <w:lvl w:ilvl="3">
      <w:start w:val="0"/>
      <w:numFmt w:val="bullet"/>
      <w:lvlText w:val="•"/>
      <w:lvlJc w:val="left"/>
      <w:pPr>
        <w:ind w:left="4561" w:hanging="360"/>
      </w:pPr>
      <w:rPr/>
    </w:lvl>
    <w:lvl w:ilvl="4">
      <w:start w:val="0"/>
      <w:numFmt w:val="bullet"/>
      <w:lvlText w:val="•"/>
      <w:lvlJc w:val="left"/>
      <w:pPr>
        <w:ind w:left="5542" w:hanging="360"/>
      </w:pPr>
      <w:rPr/>
    </w:lvl>
    <w:lvl w:ilvl="5">
      <w:start w:val="0"/>
      <w:numFmt w:val="bullet"/>
      <w:lvlText w:val="•"/>
      <w:lvlJc w:val="left"/>
      <w:pPr>
        <w:ind w:left="6523" w:hanging="360"/>
      </w:pPr>
      <w:rPr/>
    </w:lvl>
    <w:lvl w:ilvl="6">
      <w:start w:val="0"/>
      <w:numFmt w:val="bullet"/>
      <w:lvlText w:val="•"/>
      <w:lvlJc w:val="left"/>
      <w:pPr>
        <w:ind w:left="7503" w:hanging="360"/>
      </w:pPr>
      <w:rPr/>
    </w:lvl>
    <w:lvl w:ilvl="7">
      <w:start w:val="0"/>
      <w:numFmt w:val="bullet"/>
      <w:lvlText w:val="•"/>
      <w:lvlJc w:val="left"/>
      <w:pPr>
        <w:ind w:left="8484" w:hanging="360"/>
      </w:pPr>
      <w:rPr/>
    </w:lvl>
    <w:lvl w:ilvl="8">
      <w:start w:val="0"/>
      <w:numFmt w:val="bullet"/>
      <w:lvlText w:val="•"/>
      <w:lvlJc w:val="left"/>
      <w:pPr>
        <w:ind w:left="9465"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FI"/>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195"/>
      <w:jc w:val="right"/>
    </w:pPr>
    <w:rPr>
      <w:rFonts w:ascii="Calibri" w:cs="Calibri" w:eastAsia="Calibri" w:hAnsi="Calibri"/>
      <w:sz w:val="64"/>
      <w:szCs w:val="64"/>
    </w:rPr>
  </w:style>
  <w:style w:type="paragraph" w:styleId="Normaali" w:default="1">
    <w:name w:val="Normal"/>
    <w:qFormat w:val="1"/>
    <w:rPr>
      <w:rFonts w:ascii="Arial" w:cs="Arial" w:eastAsia="Arial" w:hAnsi="Arial"/>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Leipteksti">
    <w:name w:val="Body Text"/>
    <w:basedOn w:val="Normaali"/>
    <w:uiPriority w:val="1"/>
    <w:qFormat w:val="1"/>
    <w:rPr>
      <w:sz w:val="24"/>
      <w:szCs w:val="24"/>
    </w:rPr>
  </w:style>
  <w:style w:type="paragraph" w:styleId="Otsikko">
    <w:name w:val="Title"/>
    <w:basedOn w:val="Normaali"/>
    <w:uiPriority w:val="10"/>
    <w:qFormat w:val="1"/>
    <w:pPr>
      <w:ind w:right="1195"/>
      <w:jc w:val="right"/>
    </w:pPr>
    <w:rPr>
      <w:rFonts w:ascii="Calibri" w:cs="Calibri" w:eastAsia="Calibri" w:hAnsi="Calibri"/>
      <w:sz w:val="64"/>
      <w:szCs w:val="64"/>
    </w:rPr>
  </w:style>
  <w:style w:type="paragraph" w:styleId="Luettelokappale">
    <w:name w:val="List Paragraph"/>
    <w:basedOn w:val="Normaali"/>
    <w:uiPriority w:val="1"/>
    <w:qFormat w:val="1"/>
    <w:pPr>
      <w:ind w:left="1611" w:hanging="360"/>
    </w:pPr>
  </w:style>
  <w:style w:type="paragraph" w:styleId="TableParagraph" w:customStyle="1">
    <w:name w:val="Table Paragraph"/>
    <w:basedOn w:val="Normaali"/>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rOBgPeu3wEaGkTMMNBT1UzCew==">CgMxLjAyCGguZ2pkZ3hzOAByITFrNlh0dUNqM1hIaXBFNGxLdURNaXBRMkxHQldhNzhEUQ==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2022-10-05T09:40:00Z</dcterms:created>
  <dc:creator>panu.ruoste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2021-08-09T00:00:00Z</vt:lpwstr>
  </property>
  <property fmtid="{D5CDD505-2E9C-101B-9397-08002B2CF9AE}" pid="3" name="LastSaved">
    <vt:lpwstr>2022-09-15T00:00:00Z</vt:lpwstr>
  </property>
  <property fmtid="{D5CDD505-2E9C-101B-9397-08002B2CF9AE}" pid="4" name="Producer">
    <vt:lpwstr>Microsoft: Print To PDF</vt:lpwstr>
  </property>
</Properties>
</file>