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4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spacing w:line="259" w:lineRule="auto"/>
        <w:ind w:left="0" w:firstLine="0"/>
        <w:jc w:val="center"/>
        <w:rPr>
          <w:b w:val="1"/>
          <w:color w:val="073763"/>
          <w:sz w:val="64"/>
          <w:szCs w:val="64"/>
        </w:rPr>
      </w:pPr>
      <w:r w:rsidDel="00000000" w:rsidR="00000000" w:rsidRPr="00000000">
        <w:rPr>
          <w:b w:val="1"/>
          <w:color w:val="073763"/>
          <w:sz w:val="64"/>
          <w:szCs w:val="64"/>
          <w:rtl w:val="0"/>
        </w:rPr>
        <w:t xml:space="preserve">JÄMSTÄLLDHETSPLAN OCH PLAN FÖR LIKABEHANDLING </w:t>
      </w:r>
    </w:p>
    <w:p w:rsidR="00000000" w:rsidDel="00000000" w:rsidP="00000000" w:rsidRDefault="00000000" w:rsidRPr="00000000" w14:paraId="00000009">
      <w:pPr>
        <w:pStyle w:val="Title"/>
        <w:spacing w:line="259" w:lineRule="auto"/>
        <w:ind w:firstLine="811"/>
        <w:jc w:val="center"/>
        <w:rPr>
          <w:b w:val="1"/>
          <w:color w:val="073763"/>
          <w:sz w:val="64"/>
          <w:szCs w:val="64"/>
        </w:rPr>
      </w:pPr>
      <w:r w:rsidDel="00000000" w:rsidR="00000000" w:rsidRPr="00000000">
        <w:rPr>
          <w:b w:val="1"/>
          <w:color w:val="073763"/>
          <w:sz w:val="64"/>
          <w:szCs w:val="64"/>
          <w:rtl w:val="0"/>
        </w:rPr>
        <w:t xml:space="preserve">FÖR STUDERANDE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124080</wp:posOffset>
            </wp:positionV>
            <wp:extent cx="3567113" cy="4025338"/>
            <wp:effectExtent b="0" l="0" r="0" t="0"/>
            <wp:wrapNone/>
            <wp:docPr id="6" name="image2.png"/>
            <a:graphic>
              <a:graphicData uri="http://schemas.openxmlformats.org/drawingml/2006/picture">
                <pic:pic>
                  <pic:nvPicPr>
                    <pic:cNvPr id="0" name="image2.png"/>
                    <pic:cNvPicPr preferRelativeResize="0"/>
                  </pic:nvPicPr>
                  <pic:blipFill>
                    <a:blip r:embed="rId7"/>
                    <a:srcRect b="-24883" l="-1311" r="-4074" t="-7253"/>
                    <a:stretch>
                      <a:fillRect/>
                    </a:stretch>
                  </pic:blipFill>
                  <pic:spPr>
                    <a:xfrm>
                      <a:off x="0" y="0"/>
                      <a:ext cx="3567113" cy="4025338"/>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spacing w:before="206" w:lineRule="auto"/>
        <w:ind w:left="816" w:firstLine="0"/>
        <w:rPr>
          <w:rFonts w:ascii="Calibri" w:cs="Calibri" w:eastAsia="Calibri" w:hAnsi="Calibri"/>
          <w:color w:val="5b9ad4"/>
          <w:sz w:val="28"/>
          <w:szCs w:val="28"/>
        </w:rPr>
      </w:pPr>
      <w:r w:rsidDel="00000000" w:rsidR="00000000" w:rsidRPr="00000000">
        <w:rPr>
          <w:rtl w:val="0"/>
        </w:rPr>
      </w:r>
    </w:p>
    <w:p w:rsidR="00000000" w:rsidDel="00000000" w:rsidP="00000000" w:rsidRDefault="00000000" w:rsidRPr="00000000" w14:paraId="00000023">
      <w:pPr>
        <w:spacing w:before="206" w:lineRule="auto"/>
        <w:ind w:left="816" w:firstLine="0"/>
        <w:rPr>
          <w:rFonts w:ascii="Calibri" w:cs="Calibri" w:eastAsia="Calibri" w:hAnsi="Calibri"/>
          <w:color w:val="5b9ad4"/>
          <w:sz w:val="28"/>
          <w:szCs w:val="28"/>
        </w:rPr>
      </w:pPr>
      <w:r w:rsidDel="00000000" w:rsidR="00000000" w:rsidRPr="00000000">
        <w:rPr>
          <w:rtl w:val="0"/>
        </w:rPr>
      </w:r>
    </w:p>
    <w:p w:rsidR="00000000" w:rsidDel="00000000" w:rsidP="00000000" w:rsidRDefault="00000000" w:rsidRPr="00000000" w14:paraId="00000024">
      <w:pPr>
        <w:spacing w:before="206" w:lineRule="auto"/>
        <w:ind w:left="816" w:firstLine="0"/>
        <w:rPr>
          <w:rFonts w:ascii="Calibri" w:cs="Calibri" w:eastAsia="Calibri" w:hAnsi="Calibri"/>
          <w:color w:val="5b9ad4"/>
          <w:sz w:val="28"/>
          <w:szCs w:val="28"/>
        </w:rPr>
      </w:pPr>
      <w:r w:rsidDel="00000000" w:rsidR="00000000" w:rsidRPr="00000000">
        <w:rPr>
          <w:rtl w:val="0"/>
        </w:rPr>
      </w:r>
    </w:p>
    <w:p w:rsidR="00000000" w:rsidDel="00000000" w:rsidP="00000000" w:rsidRDefault="00000000" w:rsidRPr="00000000" w14:paraId="00000025">
      <w:pPr>
        <w:spacing w:before="206" w:lineRule="auto"/>
        <w:ind w:left="816" w:firstLine="0"/>
        <w:rPr>
          <w:rFonts w:ascii="Calibri" w:cs="Calibri" w:eastAsia="Calibri" w:hAnsi="Calibri"/>
          <w:color w:val="5b9ad4"/>
          <w:sz w:val="28"/>
          <w:szCs w:val="28"/>
        </w:rPr>
      </w:pPr>
      <w:r w:rsidDel="00000000" w:rsidR="00000000" w:rsidRPr="00000000">
        <w:rPr>
          <w:rtl w:val="0"/>
        </w:rPr>
      </w:r>
    </w:p>
    <w:p w:rsidR="00000000" w:rsidDel="00000000" w:rsidP="00000000" w:rsidRDefault="00000000" w:rsidRPr="00000000" w14:paraId="00000026">
      <w:pPr>
        <w:spacing w:before="206" w:lineRule="auto"/>
        <w:ind w:left="816" w:firstLine="0"/>
        <w:rPr>
          <w:rFonts w:ascii="Calibri" w:cs="Calibri" w:eastAsia="Calibri" w:hAnsi="Calibri"/>
          <w:sz w:val="28"/>
          <w:szCs w:val="28"/>
        </w:rPr>
      </w:pPr>
      <w:r w:rsidDel="00000000" w:rsidR="00000000" w:rsidRPr="00000000">
        <w:rPr>
          <w:rFonts w:ascii="Calibri" w:cs="Calibri" w:eastAsia="Calibri" w:hAnsi="Calibri"/>
          <w:color w:val="5b9ad4"/>
          <w:sz w:val="28"/>
          <w:szCs w:val="28"/>
          <w:rtl w:val="0"/>
        </w:rPr>
        <w:t xml:space="preserve">12.10.2022</w:t>
      </w:r>
      <w:r w:rsidDel="00000000" w:rsidR="00000000" w:rsidRPr="00000000">
        <w:rPr>
          <w:rtl w:val="0"/>
        </w:rPr>
      </w:r>
    </w:p>
    <w:p w:rsidR="00000000" w:rsidDel="00000000" w:rsidP="00000000" w:rsidRDefault="00000000" w:rsidRPr="00000000" w14:paraId="00000027">
      <w:pPr>
        <w:spacing w:before="37" w:lineRule="auto"/>
        <w:ind w:left="816" w:firstLine="0"/>
        <w:rPr>
          <w:rFonts w:ascii="Calibri" w:cs="Calibri" w:eastAsia="Calibri" w:hAnsi="Calibri"/>
          <w:sz w:val="24"/>
          <w:szCs w:val="24"/>
        </w:rPr>
      </w:pPr>
      <w:r w:rsidDel="00000000" w:rsidR="00000000" w:rsidRPr="00000000">
        <w:rPr>
          <w:rFonts w:ascii="Calibri" w:cs="Calibri" w:eastAsia="Calibri" w:hAnsi="Calibri"/>
          <w:color w:val="4472c3"/>
          <w:sz w:val="24"/>
          <w:szCs w:val="24"/>
          <w:rtl w:val="0"/>
        </w:rPr>
        <w:t xml:space="preserve">Virkby gymnasium</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C">
      <w:pPr>
        <w:ind w:left="816" w:firstLine="0"/>
        <w:rPr>
          <w:rFonts w:ascii="Calibri" w:cs="Calibri" w:eastAsia="Calibri" w:hAnsi="Calibri"/>
          <w:sz w:val="18"/>
          <w:szCs w:val="18"/>
        </w:rPr>
        <w:sectPr>
          <w:pgSz w:h="16840" w:w="11910" w:orient="portrait"/>
          <w:pgMar w:bottom="280" w:top="380" w:left="1020" w:right="1020" w:header="708" w:footer="708"/>
          <w:pgNumType w:start="1"/>
        </w:sect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1">
      <w:pPr>
        <w:spacing w:before="35" w:lineRule="auto"/>
        <w:ind w:left="112" w:firstLine="0"/>
        <w:rPr>
          <w:rFonts w:ascii="Calibri" w:cs="Calibri" w:eastAsia="Calibri" w:hAnsi="Calibri"/>
          <w:sz w:val="32"/>
          <w:szCs w:val="32"/>
        </w:rPr>
      </w:pPr>
      <w:r w:rsidDel="00000000" w:rsidR="00000000" w:rsidRPr="00000000">
        <w:rPr>
          <w:rFonts w:ascii="Calibri" w:cs="Calibri" w:eastAsia="Calibri" w:hAnsi="Calibri"/>
          <w:color w:val="2d74b5"/>
          <w:sz w:val="32"/>
          <w:szCs w:val="32"/>
          <w:rtl w:val="0"/>
        </w:rPr>
        <w:t xml:space="preserve">Innehåll</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1"/>
              <w:tab w:val="right" w:pos="9860"/>
            </w:tabs>
            <w:spacing w:after="0" w:before="122" w:line="240" w:lineRule="auto"/>
            <w:ind w:left="357" w:right="0" w:hanging="24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Introduktion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1"/>
              <w:tab w:val="right" w:pos="9860"/>
            </w:tabs>
            <w:spacing w:after="0" w:before="122" w:line="240" w:lineRule="auto"/>
            <w:ind w:left="357" w:right="0" w:hanging="246"/>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Begrepp och skyldigheter i jämställdhetslagen och diskrimineringslagen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Skyldigheter enligt jämställdhetslagen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Skyldigheter enligt diskrimineringslagen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Mål som främjar jämlikhet och likabehandling i undervisningen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1"/>
              <w:tab w:val="right" w:pos="9860"/>
            </w:tabs>
            <w:spacing w:after="0" w:before="122" w:line="240" w:lineRule="auto"/>
            <w:ind w:left="357" w:right="0" w:hanging="246"/>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Utarbetande, uppföljning och informering om planer</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1"/>
              <w:tab w:val="right" w:pos="9860"/>
            </w:tabs>
            <w:spacing w:after="0" w:before="122" w:line="240" w:lineRule="auto"/>
            <w:ind w:left="357" w:right="0" w:hanging="246"/>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Åtgärder för att främja jämställdhet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Utbildning vid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Ålder</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Livsåskådning, etnisk bakgrund, nationalitet och språk</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Könsmångfald</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Sexuell läggning, trakasserier och förebyggande av dem</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Funktionsnedsättning och hälsotillstånd</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1"/>
              <w:tab w:val="right" w:pos="9860"/>
            </w:tabs>
            <w:spacing w:after="0" w:before="122" w:line="240" w:lineRule="auto"/>
            <w:ind w:left="357" w:right="0" w:hanging="246"/>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Åtgärder i diskriminerings- och trakasserifall samt främjande av likabehandling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860"/>
            </w:tabs>
            <w:spacing w:after="0" w:before="119" w:line="240" w:lineRule="auto"/>
            <w:ind w:left="701" w:right="0" w:hanging="432"/>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Källor och mer information</w:t>
              <w:tab/>
              <w:t xml:space="preserve">9</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sectPr>
          <w:headerReference r:id="rId8" w:type="default"/>
          <w:footerReference r:id="rId9" w:type="default"/>
          <w:type w:val="nextPage"/>
          <w:pgSz w:h="16840" w:w="11910" w:orient="portrait"/>
          <w:pgMar w:bottom="1200" w:top="940" w:left="1020" w:right="1020" w:header="712" w:footer="1010"/>
          <w:pgNumType w:start="1"/>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1"/>
        <w:numPr>
          <w:ilvl w:val="0"/>
          <w:numId w:val="3"/>
        </w:numPr>
        <w:tabs>
          <w:tab w:val="left" w:pos="353"/>
        </w:tabs>
        <w:ind w:left="352" w:hanging="241"/>
        <w:rPr/>
      </w:pPr>
      <w:bookmarkStart w:colFirst="0" w:colLast="0" w:name="_heading=h.30j0zll" w:id="1"/>
      <w:bookmarkEnd w:id="1"/>
      <w:r w:rsidDel="00000000" w:rsidR="00000000" w:rsidRPr="00000000">
        <w:rPr>
          <w:color w:val="2d74b5"/>
          <w:rtl w:val="0"/>
        </w:rPr>
        <w:t xml:space="preserve">Introduktion</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Enligt Lojos stadsstrategi 2017–2025 är stadens värderingar öppenhet, invånarorientering, mod och ansvarsfullhet. Värderingarna och stadsstrategin styr all verksamhet inom stadens verksamhetsområden. Ett av målen i stadsstrategin är barnvänlighet. De strategiska tyngdpunkterna i Lojo stads utvecklingsprogram för serviceområdet för barn, unga och familjer 2018–2025 är invånarorientering och invånarnas delaktighet, främjande av välbefinnande och hälsa samt förebyggande av utslagning. Åtgärder inom serviceområdet för barn, unga och familjer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år 2018–2025 är bland annat</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95"/>
          <w:tab w:val="left" w:pos="896"/>
        </w:tabs>
        <w:spacing w:after="0" w:before="183" w:line="240" w:lineRule="auto"/>
        <w:ind w:left="895" w:right="0" w:hanging="42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varje barn och ung person upplever sig ha blivit hörd och sedd</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31"/>
          <w:tab w:val="left" w:pos="832"/>
        </w:tabs>
        <w:spacing w:after="0" w:before="19"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acceptera och förstå olikheter</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31"/>
          <w:tab w:val="left" w:pos="832"/>
        </w:tabs>
        <w:spacing w:after="0" w:before="16"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söka pedagogiska lösningar enligt barnets behov.</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Jämställdhets- och likabehandlingsplanen för </w:t>
      </w:r>
      <w:r w:rsidDel="00000000" w:rsidR="00000000" w:rsidRPr="00000000">
        <w:rPr>
          <w:color w:val="ff0000"/>
          <w:rtl w:val="0"/>
        </w:rPr>
        <w:t xml:space="preserve">Virkby gymnasium </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stöder förverkligandet av stadens strategi och utvecklingsprogrammet för serviceområdet för barn, unga och familjer.</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Syftet med jämställdhetslagen är att förebygga diskriminering på grund av kön och främja jämställdheten mellan kvinnor och män samt att i detta syfte förbättra kvinnans ställning särskilt i arbetslivet.</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Lagen syftar också till att förebygga diskriminering på grund av könsidentitet eller könsuttryck.</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Bakgrunden till likabehandlingsprogrammet är Finlands grundlag. I lagen konstateras att ingen får utan godtagbart skäl särbehandlas. Enligt diskrimineringslagen får ingen diskrimineras på grund av kön, ålder, nationellt ursprung, språk, religion, övertygelse, åsikt, hälsotillstånd, funktionsnedsättning eller någon annan omständighet som gäller den enskilde som person.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Jämställdhets- och likabehandlingsplanen för undervisningen vid </w:t>
      </w:r>
      <w:r w:rsidDel="00000000" w:rsidR="00000000" w:rsidRPr="00000000">
        <w:rPr>
          <w:rtl w:val="0"/>
        </w:rPr>
        <w:t xml:space="preserve">Virkby gymnasium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grundar sig på Utbildningsstyrelsens guider "Yhteiseen ymmärrykseen tasa-arvosta" (Utbildningsstyrelsen 2008) och "Esteettömästi toisen asteen opintoihin" (Utbildningsstyrelsen 2014) samt diskrimineringslagen och lagen om jämställdhet mellan kvinnor och män. I jämställdhetsenkäten utnyttjas Utbildningsstyrelsens guide "Jämställdhetsarbete är en kunskapsfråga" 2015.</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Myndigheter, utbildningsanordnare och arbetsgivare är skyldiga att systematiskt främja jämställdhet och likabehandling. De främjande åtgärderna ska vara effektiva, ändamålsenliga och proportionerliga med beaktande av verksamhetsmiljön, resurserna och övriga omständigheter. Dessa aktörer ska bedöma hur jämställdhet och likabehandling förverkligas i deras egen verksamhet och vidta nödvändiga åtgärder för att främja jämställdhet och likabehandling.</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12" w:right="15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Utbildningsanordnarna ska vid bedömningen av hur jämställdhet och likabehandling förverkligas fästa uppmärksamhet vid till exempel grunderna för antagning av elever, det läromedel som används, åtgärder som förebygger trakasserier och mobbning i skolan, jämlikheten i undervisningssituationer, bedömningen av studieprestationer samt lärarnas kunskaper om jämlikhet. Dessutom är myndigheter, utbildningsanordnare och arbetsgivare skyldiga att utarbeta en likabehandlingsplan för de åtgärder som främjar jämställdhet och jämlikhet. Denna jämställdhets- och likabehandlingsplan omfattar myndigheternas och utbildningsanordnarnas lagstadgade planer.</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I Lojo är visionen för jämställdhet och likabehandling att ingen diskrimineras på någon grund och att alla är jämlika sinsemellan och behandlas lika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numPr>
          <w:ilvl w:val="0"/>
          <w:numId w:val="3"/>
        </w:numPr>
        <w:tabs>
          <w:tab w:val="left" w:pos="425"/>
        </w:tabs>
        <w:ind w:left="424" w:hanging="313"/>
        <w:rPr/>
      </w:pPr>
      <w:bookmarkStart w:colFirst="0" w:colLast="0" w:name="_heading=h.1fob9te" w:id="2"/>
      <w:bookmarkEnd w:id="2"/>
      <w:r w:rsidDel="00000000" w:rsidR="00000000" w:rsidRPr="00000000">
        <w:rPr>
          <w:color w:val="2d74b5"/>
          <w:rtl w:val="0"/>
        </w:rPr>
        <w:t xml:space="preserve">Begrepp och skyldigheter </w:t>
      </w:r>
      <w:r w:rsidDel="00000000" w:rsidR="00000000" w:rsidRPr="00000000">
        <w:rPr>
          <w:rtl w:val="0"/>
        </w:rPr>
        <w:t xml:space="preserve">i jämställdhetslagen och diskrimineringslagen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12" w:lineRule="auto"/>
        <w:ind w:left="112" w:right="18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Lagen om jämställdhet mellan kvinnor och män 609/1986/11.11.2016 Diskrimineringslagen 30.12.2014/1325</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2"/>
        <w:numPr>
          <w:ilvl w:val="1"/>
          <w:numId w:val="3"/>
        </w:numPr>
        <w:tabs>
          <w:tab w:val="left" w:pos="561"/>
        </w:tabs>
        <w:spacing w:before="159" w:lineRule="auto"/>
        <w:ind w:left="560" w:hanging="449"/>
        <w:rPr/>
      </w:pPr>
      <w:bookmarkStart w:colFirst="0" w:colLast="0" w:name="_heading=h.3znysh7" w:id="3"/>
      <w:bookmarkEnd w:id="3"/>
      <w:r w:rsidDel="00000000" w:rsidR="00000000" w:rsidRPr="00000000">
        <w:rPr>
          <w:color w:val="2d74b5"/>
          <w:rtl w:val="0"/>
        </w:rPr>
        <w:t xml:space="preserve">Skyldigheter enligt jämställdhetslagen</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Jämställdhetslagen (5a § Åtgärder för främjande av jämställdheten vid läroanstalter) förpliktar läroanstalterna till att årligen i samarbete med representanter för personalen och de studerande utarbeta en jämställdhetsplan. Planen kan införlivas i läroplanen eller i någon annan plan vid läroanstalten.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Jämställdhetsplanen ska innehålla:</w:t>
      </w:r>
    </w:p>
    <w:p w:rsidR="00000000" w:rsidDel="00000000" w:rsidP="00000000" w:rsidRDefault="00000000" w:rsidRPr="00000000" w14:paraId="0000006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663"/>
        </w:tabs>
        <w:spacing w:after="0" w:before="181" w:line="240" w:lineRule="auto"/>
        <w:ind w:left="1662" w:right="0" w:hanging="248.000000000000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redogörelse för jämställdhetsläget vid läroanstalten</w:t>
      </w:r>
    </w:p>
    <w:p w:rsidR="00000000" w:rsidDel="00000000" w:rsidP="00000000" w:rsidRDefault="00000000" w:rsidRPr="00000000" w14:paraId="0000006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662"/>
        </w:tabs>
        <w:spacing w:after="0" w:before="179" w:line="240" w:lineRule="auto"/>
        <w:ind w:left="1661" w:right="0" w:hanging="246.999999999999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åtgärder som behövs för att främja jämställdheten</w:t>
      </w:r>
    </w:p>
    <w:p w:rsidR="00000000" w:rsidDel="00000000" w:rsidP="00000000" w:rsidRDefault="00000000" w:rsidRPr="00000000" w14:paraId="0000006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663"/>
        </w:tabs>
        <w:spacing w:after="0" w:before="184" w:line="254" w:lineRule="auto"/>
        <w:ind w:left="1415" w:right="1046"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utvärdering av hur åtgärderna i en tidigare jämställdhetsplan har genomförts och av resultaten.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59"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Särskilt avseende ska fästas vid ordnandet av undervisningen, skillnaderna i inlärning, bedömningen av studieprestationer, antagningen av elever och studerande samt vid förebyggande och undanröjande av sexuella trakasserier och trakasserier på grund av kön. I stället för en årlig genomgång kan en plan utarbetas för högst tre år i sänder.</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2"/>
        <w:numPr>
          <w:ilvl w:val="1"/>
          <w:numId w:val="3"/>
        </w:numPr>
        <w:tabs>
          <w:tab w:val="left" w:pos="560"/>
        </w:tabs>
        <w:ind w:left="559" w:hanging="448"/>
        <w:rPr/>
      </w:pPr>
      <w:bookmarkStart w:colFirst="0" w:colLast="0" w:name="_heading=h.2et92p0" w:id="4"/>
      <w:bookmarkEnd w:id="4"/>
      <w:r w:rsidDel="00000000" w:rsidR="00000000" w:rsidRPr="00000000">
        <w:rPr>
          <w:color w:val="2d74b5"/>
          <w:rtl w:val="0"/>
        </w:rPr>
        <w:t xml:space="preserve">Skyldigheter enligt diskrimineringslagen</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Bakgrunden till likabehandlingsprogrammet är Finlands grundlag. I lagen konstateras att ingen får utan godtagbart skäl särbehandlas. Syftet med diskrimineringslagen är att främja likabehandling och förebygga diskriminering samt att effektivisera rättssäkerheten för den som utsatts för diskriminering.</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Utbildningsanordnare och de läroanstalter de är huvudmän för ska bedöma hur likabehandling uppnås i deras verksamhet och vidta nödvändiga åtgärder för att främja likabehandling. De främjande åtgärderna ska vara effektiva, ändamålsenliga och proportionerliga med beaktande av läroanstaltens verksamhetsmiljö, resurser och övriga omständigheter.</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6"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Utbildningsanordnaren ska se till att läroanstalten har en plan för de åtgärder som behövs för att främja likabehandling. Läroanstalten ska ge de studerandena och deras vårdnadshavare möjlighet att bli hörda om de främjande åtgärderna.</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Begreppet tillgänglighet förknippas ofta med principen om likabehandling. Med utbildningens tillgänglighet avses att den studerandes eventuella stödbehov eller specialarrangemang</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antagningen av studerande och i studierna inte får utgöra ett hinder för att bli antagen till utbildning på lika villkor och för studier.</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2"/>
        <w:numPr>
          <w:ilvl w:val="1"/>
          <w:numId w:val="1"/>
        </w:numPr>
        <w:tabs>
          <w:tab w:val="left" w:pos="496"/>
        </w:tabs>
        <w:ind w:left="496" w:hanging="384"/>
        <w:rPr/>
      </w:pPr>
      <w:bookmarkStart w:colFirst="0" w:colLast="0" w:name="_heading=h.tyjcwt" w:id="5"/>
      <w:bookmarkEnd w:id="5"/>
      <w:r w:rsidDel="00000000" w:rsidR="00000000" w:rsidRPr="00000000">
        <w:rPr>
          <w:color w:val="2d74b5"/>
          <w:rtl w:val="0"/>
        </w:rPr>
        <w:t xml:space="preserve">Mål som främjar jämlikhet och likabehandling i undervisningen</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 ingår på många sätt i utbildningens allmänna mål och läroplansgrunderna.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Till de allmänna målen för undervisningen hör till exempel:</w:t>
      </w:r>
    </w:p>
    <w:p w:rsidR="00000000" w:rsidDel="00000000" w:rsidP="00000000" w:rsidRDefault="00000000" w:rsidRPr="00000000" w14:paraId="0000007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4"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respekt för och främjande av de mänskliga rättigheterna,</w:t>
      </w:r>
    </w:p>
    <w:p w:rsidR="00000000" w:rsidDel="00000000" w:rsidP="00000000" w:rsidRDefault="00000000" w:rsidRPr="00000000" w14:paraId="0000007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demokrati och främjande av jämställdhet,</w:t>
      </w:r>
    </w:p>
    <w:p w:rsidR="00000000" w:rsidDel="00000000" w:rsidP="00000000" w:rsidRDefault="00000000" w:rsidRPr="00000000" w14:paraId="0000007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9"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planering och genomförande av egna val samt ansvar för valen</w:t>
      </w:r>
    </w:p>
    <w:p w:rsidR="00000000" w:rsidDel="00000000" w:rsidP="00000000" w:rsidRDefault="00000000" w:rsidRPr="00000000" w14:paraId="0000007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färdigheter för livslångt lärande</w:t>
      </w:r>
    </w:p>
    <w:p w:rsidR="00000000" w:rsidDel="00000000" w:rsidP="00000000" w:rsidRDefault="00000000" w:rsidRPr="00000000" w14:paraId="0000007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6" w:line="256" w:lineRule="auto"/>
        <w:ind w:left="832" w:right="202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växa till ansvar för sin egen och andra människors välbefinnande samt för medborgarsamhällets funktion</w:t>
      </w:r>
    </w:p>
    <w:p w:rsidR="00000000" w:rsidDel="00000000" w:rsidP="00000000" w:rsidRDefault="00000000" w:rsidRPr="00000000" w14:paraId="0000007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3"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lära sig samarbeta</w:t>
      </w:r>
    </w:p>
    <w:p w:rsidR="00000000" w:rsidDel="00000000" w:rsidP="00000000" w:rsidRDefault="00000000" w:rsidRPr="00000000" w14:paraId="0000007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kännedom om medborgarens grundläggande fri- och rättigheter och skyldigheter</w:t>
      </w:r>
    </w:p>
    <w:p w:rsidR="00000000" w:rsidDel="00000000" w:rsidP="00000000" w:rsidRDefault="00000000" w:rsidRPr="00000000" w14:paraId="0000007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9"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uppmuntrande interaktionskompetens</w:t>
      </w:r>
    </w:p>
    <w:p w:rsidR="00000000" w:rsidDel="00000000" w:rsidP="00000000" w:rsidRDefault="00000000" w:rsidRPr="00000000" w14:paraId="0000007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identifiera konflikter mellan uttalade värderingar och verklighet</w:t>
      </w:r>
    </w:p>
    <w:p w:rsidR="00000000" w:rsidDel="00000000" w:rsidP="00000000" w:rsidRDefault="00000000" w:rsidRPr="00000000" w14:paraId="0000008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8" w:line="256" w:lineRule="auto"/>
        <w:ind w:left="832" w:right="48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kritiskt övervägande av missförhållanden och möjligheter i det finländska samhället och den internationella utvecklingen</w:t>
      </w:r>
    </w:p>
    <w:p w:rsidR="00000000" w:rsidDel="00000000" w:rsidP="00000000" w:rsidRDefault="00000000" w:rsidRPr="00000000" w14:paraId="0000008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3" w:line="240" w:lineRule="auto"/>
        <w:ind w:left="83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 lära sig tolerans och internationellt samarbete</w:t>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831"/>
          <w:tab w:val="left" w:pos="832"/>
        </w:tabs>
        <w:spacing w:after="0" w:before="16" w:line="256" w:lineRule="auto"/>
        <w:ind w:left="832" w:right="36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förmåga att vara ansvarsfull och ta hand om sina skyldigheter samt vara medlem av arbetsgemenskapen.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12" w:right="3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Olika undervisningsmetoder, stödåtgärder och undervisningsarrangemang möjliggör tillgängligt lärande oberoende av inlärnings- och studiesvårigheter. I den plan för specialundervisning som finns som bilaga till läroplanen för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beskrivs genomförandet av särskilt stöd.</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Utgångspunkten är att man tar hand om alla studerande, uppskattar de studerandes olikheter och stöder deras personliga utveckling mot vidareutbildning, sysselsättning och ett gott liv.</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1"/>
        <w:numPr>
          <w:ilvl w:val="0"/>
          <w:numId w:val="3"/>
        </w:numPr>
        <w:tabs>
          <w:tab w:val="left" w:pos="425"/>
        </w:tabs>
        <w:spacing w:before="1" w:lineRule="auto"/>
        <w:ind w:left="424" w:hanging="313"/>
        <w:rPr/>
      </w:pPr>
      <w:bookmarkStart w:colFirst="0" w:colLast="0" w:name="_heading=h.3dy6vkm" w:id="6"/>
      <w:bookmarkEnd w:id="6"/>
      <w:r w:rsidDel="00000000" w:rsidR="00000000" w:rsidRPr="00000000">
        <w:rPr>
          <w:color w:val="2d74b5"/>
          <w:rtl w:val="0"/>
        </w:rPr>
        <w:t xml:space="preserve">Utarbetande, uppföljning och informering om planer</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har man utarbetat en kombinerad jämställdhets- och likabehandlingsplan, eftersom det i båda fallen är fråga om att förebygga diskriminering och att utveckla en jämställd och jämlik inlärningsmiljö. Riktlinjerna i denna plan beaktas när läsårsplanen för </w:t>
      </w:r>
      <w:r w:rsidDel="00000000" w:rsidR="00000000" w:rsidRPr="00000000">
        <w:rPr>
          <w:rtl w:val="0"/>
        </w:rPr>
        <w:t xml:space="preserve">Virkby gymnasium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årligen utarbetas.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Lärarna, aktörerna inom elevhälsan, de studerande och vårdnadshavarna informeras om planen.</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112" w:right="162"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Utvärderingen och uppdateringen av jämställdhets- och likabehandlingsplanen grundar sig på gymnasiets egen enkät, där man kartlägger hur jämställdheten och jämlikheten förverkligas. I uppföljningen utnyttjas också bland annat resultat från enkäten Hälsa i skolan. Rektorn ansvarar för uppföljningen av riktlinjerna i planen läsårsvis.</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numPr>
          <w:ilvl w:val="0"/>
          <w:numId w:val="3"/>
        </w:numPr>
        <w:tabs>
          <w:tab w:val="left" w:pos="425"/>
        </w:tabs>
        <w:spacing w:before="35" w:lineRule="auto"/>
        <w:ind w:left="424" w:hanging="313"/>
        <w:rPr/>
      </w:pPr>
      <w:bookmarkStart w:colFirst="0" w:colLast="0" w:name="_heading=h.1t3h5sf" w:id="7"/>
      <w:bookmarkEnd w:id="7"/>
      <w:r w:rsidDel="00000000" w:rsidR="00000000" w:rsidRPr="00000000">
        <w:rPr>
          <w:color w:val="2d74b5"/>
          <w:rtl w:val="0"/>
        </w:rPr>
        <w:t xml:space="preserve">Åtgärder för att främja jämställdhet</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numPr>
          <w:ilvl w:val="1"/>
          <w:numId w:val="3"/>
        </w:numPr>
        <w:tabs>
          <w:tab w:val="left" w:pos="561"/>
        </w:tabs>
        <w:ind w:left="560" w:hanging="449"/>
        <w:rPr/>
      </w:pPr>
      <w:bookmarkStart w:colFirst="0" w:colLast="0" w:name="_heading=h.4d34og8" w:id="8"/>
      <w:bookmarkEnd w:id="8"/>
      <w:r w:rsidDel="00000000" w:rsidR="00000000" w:rsidRPr="00000000">
        <w:rPr>
          <w:color w:val="2d74b5"/>
          <w:rtl w:val="0"/>
        </w:rPr>
        <w:t xml:space="preserve">Utbildning vid Virkby gymnasium</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Före ansökan till utbildningen är det viktigt att den sökande får realistisk information om sina möjligheter. Handledningens och informationens tillgänglighet främjar rätta utbildningsval och minskar därmed också studieavbrott. För att uppnå dessa mål samarbetar gymnasieutbildningen med den grundläggande utbildningen. Antagningen av studerande sker på basis av medeltalet av läsämnena på de sökandes avgångsbetyg från den grundläggande utbildningen. De platser som blir lediga efter antagningen av studerande kompletteras via reservplatssystemet. Lediga platser kompletteras via tilläggsansökan.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6" w:lineRule="auto"/>
        <w:ind w:left="112" w:right="3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Målet med studieperiodsutbudet är att det är så mångsidigt som möjligt. På så sätt stöds studerandenas möjligheter till fortsatta studier på bred front. Studieutbudet planeras via de studerandes egna studieperiodsval.</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Utvärderingen av den studerande styr och uppmuntrar till studier och utvecklar den studerandes förutsättningar för självvärdering. Den studerandes inlärning utvärderas under studieperioden. Inlärningen och arbetet i studierna utvärderas mångsidigt. Utvärderingen gäller inte de studerandes värderingar, attityder eller personliga egenskaper. Utöver de allmänna utvärderingsgrunderna ska målen och utvärderingsgrunderna för varje studieperiod klargöras genom diskussioner med de studerande i början av studieperioden. Den studerande har möjlighet att sätta sig in i det material som ligger till grund för utvärderingen efter att hen har fått kännedom om utvärderingsbeslutet.</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Diagnostiserade skador eller därmed jämförbara svårigheter, såsom läs- och skrivstörningar, språkliga svårigheter hos invandrare samt andra orsaker som försvårar påvisandet av kunnande, beaktas i utvärderingen.</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Läroanstalten är en lärande gemenskap som främjar alla sina medlemmars inlärning och utmanar till målinriktat arbete. I gymnasierna arbetar de studerande i trygga och hälsosamma studiemiljöer.</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Målet är att studiemiljön är mångsidig och att de berikar studierelaterade erfarenheter och främjar studiemotivationen. Verksamheten utgår från de studerande och stärker de studerandes eget aktörskap, utveckling och inlärning. Gymnasiet har en handledningsplan som omfattar hela gymnasietiden. Dessutom utarbetar varje studerande egna individuella studie- och karriärplaner. Studerandenas individuella framgång i studierna, personliga inlärningsstigar och utvecklingen av färdigheter i nätstudier stöds genom att erbjuda studerandena möjligheter att genomföra studier också självständigt.</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2"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gymnasieutbildningen stöds varje ung persons studier och inlärning. I detta arbete har ämnesläraren en betydande roll. Olika former av stöd för inlärning och studier vid Lohjan Yhteislyseon lukio omfattar </w:t>
      </w:r>
      <w:r w:rsidDel="00000000" w:rsidR="00000000" w:rsidRPr="00000000">
        <w:rPr>
          <w:rtl w:val="0"/>
        </w:rPr>
        <w:t xml:space="preserve">studerandevårds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arbete, grupphandledning och specialundervisning. Syftet med specialundervisningen är att stöda den studerande i inlärningsproblem. Tyngdpunkten ligger på förebyggande arbete. Den studerandes stödbehov bedöms från fall till fall. Centrala frågor är tillgängligt lärande, förebyggande av inlärningssvårigheter och tidig identifiering. Nödvändiga stödåtgärder planeras tillsammans med den studerande, lärarna och experterna. Stödformerna kan vara differentiering av undervisningen och andra pedagogiska lösningar, utnyttjande av studieperiodernas valmöjligheter, mångsidig studiehandledning och grupphandledarens stöd. Stödåtgärderna kan antecknas i den studerandes individuella studieplan.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Attitydmässig, social och psykisk tillgänglighet skapar grunden för gymnasiets verksamhet, där man beaktar studerandenas delaktighet och välbefinnande. De är inte helt åtskilda</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dimensioner av tillgänglighet utan överlappar varandra och fungerar som förutsättningar för varandra. I gymnasieutbildningen vid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avses med attitydmässig tillgänglighet en jämlik attityd till varje studerandes studiemöjligheter oberoende av hens egenskaper eller bakgrund.</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en socialt tillgänglig läroanstalt kan varje studerande känna att hen hör till läroanstaltsgemenskapen och kan delta i social verksamhet. När man i verksamheten beaktar till exempel olika kulturer kan man förbättra det sociala och attitydmässiga tillgänglighetsperspektivet.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Psykisk tillgänglighet kan ses som psykiskt välbefinnande som erbjuder metoder och resurser för inlärning och utveckling. Att inleda studier är ett särskilt utmanande livsskede för många unga. Livsförändringarna kan kräva särskilt mycket resurser av den unga och frågor som gäller de studerandes psykiska hälsa och psykiska välbefinnande är starkt närvarande i gymnasiets vardag. I dessa frågor är det nödvändigt att samarbeta med </w:t>
      </w:r>
      <w:r w:rsidDel="00000000" w:rsidR="00000000" w:rsidRPr="00000000">
        <w:rPr>
          <w:rtl w:val="0"/>
        </w:rPr>
        <w:t xml:space="preserve">studerandevården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12" w:right="3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 snabba utvecklingen av informationstekniken och teknologin har medfört möjligheter och utmaningar i produktionen av apparater, program och läromedel och i att skapa inlärningsmiljöer som lämpar sig för alla och som är tillgängliga för alla. Inom utbildningen vid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utvecklar man ständigt i synnerhet informations- och kommunikationsteknik för undervisningsbruk. Målet är att göra undervisningen mångsidigare och underlätta interaktionen mellan de studerande och personalen. De studerande vägleds att utnyttja digitala studiemiljöer, läromaterial och arbetsredskap för att skaffa och utvärdera information i olika former samt för att producera och dela ny information.</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2" w:right="3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Utbildningsanordnaren är skyldig att sörja för den fysiska tillgängligheten till gymnasiebyggnaden samt för tillgänglig rörlighet och verksamhet som stöder en god ergonomi. När det gäller tillgängligheten till gymnasiets lokaler och avsaknaden av rörelse- och funktionshinder ska även säkerhetsaspekten beaktas.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har en egen räddningsplan. I beslut som gäller inlärningsmiljön beaktas att inlärningen sker i de mest varierande situationer och platser.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2"/>
        <w:numPr>
          <w:ilvl w:val="1"/>
          <w:numId w:val="6"/>
        </w:numPr>
        <w:tabs>
          <w:tab w:val="left" w:pos="496"/>
        </w:tabs>
        <w:ind w:left="496" w:hanging="384"/>
        <w:rPr/>
      </w:pPr>
      <w:bookmarkStart w:colFirst="0" w:colLast="0" w:name="_heading=h.2s8eyo1" w:id="9"/>
      <w:bookmarkEnd w:id="9"/>
      <w:r w:rsidDel="00000000" w:rsidR="00000000" w:rsidRPr="00000000">
        <w:rPr>
          <w:color w:val="2d74b5"/>
          <w:rtl w:val="0"/>
        </w:rPr>
        <w:t xml:space="preserve">Ålder</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3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 åldersdiskriminering avses diskriminering på grund av ålder. Vem som helst kan bli diskriminerad på grund av sin ålder, även om åldern kan vara en diskrimineringsgrund som identifieras dåligt. Typiskt för åldersdiskriminering är att den kan riktas mot människor i olika åldrar. Åldersdiskriminering riktas dock ofta mot unga. Det är viktigt att förstå att åldersdiskriminering ofta grundar sig på felaktig information om åldrande. I studiegemenskaperna finns människor i olika åldrar och olika livssituationer.</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6"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uppskattas och respekteras människor i olika åldrar samt deras styrkor och utvecklingsutmaningar. En gynnsam atmosfär skapas för möten mellan studerande i olika åldrar.</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2"/>
        <w:numPr>
          <w:ilvl w:val="1"/>
          <w:numId w:val="6"/>
        </w:numPr>
        <w:tabs>
          <w:tab w:val="left" w:pos="496"/>
        </w:tabs>
        <w:spacing w:before="1" w:lineRule="auto"/>
        <w:ind w:left="496" w:hanging="384"/>
        <w:rPr/>
      </w:pPr>
      <w:bookmarkStart w:colFirst="0" w:colLast="0" w:name="_heading=h.17dp8vu" w:id="10"/>
      <w:bookmarkEnd w:id="10"/>
      <w:r w:rsidDel="00000000" w:rsidR="00000000" w:rsidRPr="00000000">
        <w:rPr>
          <w:color w:val="2d74b5"/>
          <w:rtl w:val="0"/>
        </w:rPr>
        <w:t xml:space="preserve">Livsåskådning, etnisk bakgrund, nationalitet och språk</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respekteras människors olika levnadsvanor och -värderingar och man förhåller sig jämställt och jämlikt till dem. I informationen och den rådgivning som personalen ger respekteras olika övertygelser och olika värdegrunder.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Oavsett etnisk bakgrund, nationalitet eller språk är alla likvärdiga. Rasism och etnisk diskriminering tillåts inte. Målet är att diskriminering ska förebyggas redan på förhand.</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Fall av diskriminering identifieras och åtgärdas omedelbart. En verksamhetskultur som värdesätter och diskuterar mångfald utvecklas och jämlikt bemötande och jämställd växelverkan stöds. Man sörjer för en rimlig tillgång till tolktjänster, så att till exempel samarbetet mellan skolan och hemmet kan genomföras trots vårdnadshavarens modersmål. Olika tanke- och verksamhetssätt tillåts och accepteras. Kulturell mångfald betraktas som en positiv resurs till vilken olika människor tillför kompletterande kompetens.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2"/>
        <w:numPr>
          <w:ilvl w:val="1"/>
          <w:numId w:val="5"/>
        </w:numPr>
        <w:tabs>
          <w:tab w:val="left" w:pos="560"/>
        </w:tabs>
        <w:spacing w:before="1" w:lineRule="auto"/>
        <w:ind w:left="559" w:hanging="448"/>
        <w:rPr/>
      </w:pPr>
      <w:bookmarkStart w:colFirst="0" w:colLast="0" w:name="_heading=h.3rdcrjn" w:id="11"/>
      <w:bookmarkEnd w:id="11"/>
      <w:r w:rsidDel="00000000" w:rsidR="00000000" w:rsidRPr="00000000">
        <w:rPr>
          <w:color w:val="2d74b5"/>
          <w:rtl w:val="0"/>
        </w:rPr>
        <w:t xml:space="preserve">Könsmångfald</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Kön är en egenskap hos människor som är mycket mångsidig. Var och en av oss upplever sitt kön på olika sätt, oavsett om det är fråga om kvinnlighet, manlighet eller något annat. Könsmångfald är alltså inte enbart en term som beskriver könsminoriteter.</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4"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stor del av människorna upplever sig vara kvinnor eller män. En del upplever sig vara båda, en del lite av båda och en del upplever att de inte får plats i dessa kategorier.</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59" w:lineRule="auto"/>
        <w:ind w:left="112" w:right="7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Alla studerande, personalen och besökare behandlas jämlikt och respektfullt oberoende av kön eller könsuttryck. Diskriminering och nedvärdering av kön, könsidentitet eller könsuttryck eller sexuella trakasserier på grund av kön godkänns inte.</w:t>
      </w:r>
    </w:p>
    <w:p w:rsidR="00000000" w:rsidDel="00000000" w:rsidP="00000000" w:rsidRDefault="00000000" w:rsidRPr="00000000" w14:paraId="000000B8">
      <w:pPr>
        <w:pStyle w:val="Heading2"/>
        <w:numPr>
          <w:ilvl w:val="1"/>
          <w:numId w:val="4"/>
        </w:numPr>
        <w:tabs>
          <w:tab w:val="left" w:pos="496"/>
        </w:tabs>
        <w:spacing w:before="159" w:lineRule="auto"/>
        <w:ind w:left="496" w:hanging="384"/>
        <w:rPr/>
      </w:pPr>
      <w:bookmarkStart w:colFirst="0" w:colLast="0" w:name="_heading=h.26in1rg" w:id="12"/>
      <w:bookmarkEnd w:id="12"/>
      <w:r w:rsidDel="00000000" w:rsidR="00000000" w:rsidRPr="00000000">
        <w:rPr>
          <w:color w:val="2d74b5"/>
          <w:rtl w:val="0"/>
        </w:rPr>
        <w:t xml:space="preserve">Sexuell läggning, trakasserier och förebyggande av dem</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Sexuell läggning är en egenskap som berättar vem en människa blir förtjust i, förälskad i eller känner en emotionell eller erotisk dragningskraft till. Sexuell läggning definieras utifrån föremålet för känslorna och det egna könet, vilket inte alltid gör den till en entydig sak.</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59" w:lineRule="auto"/>
        <w:ind w:left="112"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Mångfalden av den sexuella läggningen är ett begrepp som hänvisar till hela det spektrum av inriktningar som människor har. Diskriminering på grund av sexuell läggning tillåts inte. En kultur där man bemöter och värdesätter olika slags människor samt en accepterande, öppen och tolerant atmosfär stöds och främjas. Inga former av sexuella trakasserier tolereras. Man ingriper också i osakligt språkbruk och beteende. Om en studerande har blivit utsatt för sexuella trakasserier ska detta tas upp med den som trakasserar, om detta inte hjälper ska läraren eller rektorn underrättas. </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Anvisningar för denna process finns i skolans elevhälsoplan.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allvarligaste fallen är alltid brott och utredningen av dem hör till polisen.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E">
      <w:pPr>
        <w:pStyle w:val="Heading2"/>
        <w:numPr>
          <w:ilvl w:val="1"/>
          <w:numId w:val="4"/>
        </w:numPr>
        <w:tabs>
          <w:tab w:val="left" w:pos="496"/>
        </w:tabs>
        <w:ind w:left="496" w:hanging="384"/>
        <w:rPr/>
      </w:pPr>
      <w:bookmarkStart w:colFirst="0" w:colLast="0" w:name="_heading=h.lnxbz9" w:id="13"/>
      <w:bookmarkEnd w:id="13"/>
      <w:r w:rsidDel="00000000" w:rsidR="00000000" w:rsidRPr="00000000">
        <w:rPr>
          <w:color w:val="2d74b5"/>
          <w:rtl w:val="0"/>
        </w:rPr>
        <w:t xml:space="preserve">Funktionsnedsättning och hälsotillstånd</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 funktionsnedsättning avses en medfödd eller senare av sjukdom eller olycksfall orsakad egenskap. En person med funktionsnedsättning är inte nödvändigtvis sjuk. Personer med funktionsnedsättning kan också vara rörelsehindrade och kan därför behöva hjälpmedel. Den som använder hjälpmedel ska ha möjlighet att delta fullvärdigt och fungera jämlikt med andra.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1200" w:top="940" w:left="1020" w:right="1020" w:header="712" w:footer="101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Ingen diskrimineras på grund av en skada eller hälsotillståndet. Den studerande har rätt att besluta vad som berättas om hens hälsotillstånd eller funktionsnedsättning. Man kommer alltid överens om saken med den studerande och/eller vårdnadshavaren.</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I gymnasiet utförs såvitt möjligt specialarrangemang, behövliga hjälpmedel skaffas eller en annan studieplats anvisas där specialarrangemang är möjliga.</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1"/>
        <w:numPr>
          <w:ilvl w:val="0"/>
          <w:numId w:val="3"/>
        </w:numPr>
        <w:tabs>
          <w:tab w:val="left" w:pos="425"/>
        </w:tabs>
        <w:spacing w:line="259" w:lineRule="auto"/>
        <w:ind w:left="112" w:right="563" w:firstLine="0"/>
        <w:rPr/>
      </w:pPr>
      <w:bookmarkStart w:colFirst="0" w:colLast="0" w:name="_heading=h.35nkun2" w:id="14"/>
      <w:bookmarkEnd w:id="14"/>
      <w:r w:rsidDel="00000000" w:rsidR="00000000" w:rsidRPr="00000000">
        <w:rPr>
          <w:color w:val="2d74b5"/>
          <w:rtl w:val="0"/>
        </w:rPr>
        <w:t xml:space="preserve">Åtgärder i diskriminerings- och trakasserifall samt främjande av likabehandling</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plan för att skydda den studerande mot våld, mobbning och trakasserier ingår i </w:t>
      </w:r>
      <w:r w:rsidDel="00000000" w:rsidR="00000000" w:rsidRPr="00000000">
        <w:rPr>
          <w:rtl w:val="0"/>
        </w:rPr>
        <w:t xml:space="preserve">studievårds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planen för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4" w:lineRule="auto"/>
        <w:ind w:left="112" w:right="1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Gymnasiet ska aktivt utvärdera hur jämställdhet och likabehandling förverkligas. Det systematiska arbetet för att främja jämställdheten mellan könen i syfte att utveckla gymnasiets verksamhet utförs alltid i samarbete med personalen och de studerande. De studerande ska delta i det systematiska arbete som utförs i gymnasiet med beaktande av de ungas ålder och utveckling. Gymnasiet är skyldigt att utreda hur de studerande upplever att jämställdheten har förverkligats vid </w:t>
      </w:r>
      <w:r w:rsidDel="00000000" w:rsidR="00000000" w:rsidRPr="00000000">
        <w:rPr>
          <w:rtl w:val="0"/>
        </w:rPr>
        <w:t xml:space="preserve">Virkby gymnasium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2"/>
        <w:spacing w:before="215" w:lineRule="auto"/>
        <w:ind w:left="112" w:firstLine="0"/>
        <w:rPr/>
      </w:pPr>
      <w:bookmarkStart w:colFirst="0" w:colLast="0" w:name="_heading=h.1ksv4uv" w:id="15"/>
      <w:bookmarkEnd w:id="15"/>
      <w:r w:rsidDel="00000000" w:rsidR="00000000" w:rsidRPr="00000000">
        <w:rPr>
          <w:color w:val="2d74b5"/>
          <w:rtl w:val="0"/>
        </w:rPr>
        <w:t xml:space="preserve">Källor och mer information</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Yhteiseen ymmärrykseen tasa-arvosta, Guide för upprättande av läroanstaltens jämställdhetsplan. Utbildningsstyrelsen 2008</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Esteettömästi toisen asteen opintoihin. Utbildningsstyrelsen: Guider och handböcker 2014:10</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56" w:lineRule="auto"/>
        <w:ind w:left="112" w:right="8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Jämställdhetsarbete är en kunskapsfråga – Guide för främjande av jämställdhet</w:t>
        <w:br w:type="textWrapping"/>
        <w:br w:type="textWrapping"/>
        <w:t xml:space="preserve">i den grundläggande utbildningen Utbildningsstyrelsen Guider och handböcker 2015:5</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Diskrimineringslag 30.12.2014/1325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Lag om jämställdhet mellan kvinnor och män 8.8.1986/609 (11.11.2016/915)</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6" w:lineRule="auto"/>
        <w:ind w:left="1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Tasa-arvosuunnitelmien seuranta. Lukioiden, ammatillisten oppilaitosten ja vapaan sivistystyön oppilaitosten tasa-arvosuunnittelu, Utbildningsstyrelsen 2010</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23" w:lineRule="auto"/>
        <w:ind w:left="112" w:right="1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Jämställdhetsombudsmannen </w:t>
      </w:r>
      <w:hyperlink r:id="rId10">
        <w:r w:rsidDel="00000000" w:rsidR="00000000" w:rsidRPr="00000000">
          <w:rPr>
            <w:rFonts w:ascii="Arial" w:cs="Arial" w:eastAsia="Arial" w:hAnsi="Arial"/>
            <w:b w:val="0"/>
            <w:i w:val="0"/>
            <w:smallCaps w:val="0"/>
            <w:strike w:val="0"/>
            <w:color w:val="0562c1"/>
            <w:sz w:val="22"/>
            <w:szCs w:val="22"/>
            <w:u w:val="single"/>
            <w:shd w:fill="auto" w:val="clear"/>
            <w:vertAlign w:val="baseline"/>
            <w:rtl w:val="0"/>
          </w:rPr>
          <w:t xml:space="preserve">http://www.yhdenvertaisuus.fi/</w:t>
        </w:r>
      </w:hyperlink>
      <w:r w:rsidDel="00000000" w:rsidR="00000000" w:rsidRPr="00000000">
        <w:rPr>
          <w:rFonts w:ascii="Arial" w:cs="Arial" w:eastAsia="Arial" w:hAnsi="Arial"/>
          <w:b w:val="0"/>
          <w:i w:val="0"/>
          <w:smallCaps w:val="0"/>
          <w:strike w:val="0"/>
          <w:color w:val="0562c1"/>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Oppia kaikille! Handbok i likabehandlingsplanering för läroanstalter</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410" w:lineRule="auto"/>
        <w:ind w:left="112" w:right="18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MLL:s material för yrkespersoner, skolor och läroanstalter</w:t>
      </w:r>
      <w:hyperlink r:id="rId11">
        <w:r w:rsidDel="00000000" w:rsidR="00000000" w:rsidRPr="00000000">
          <w:rPr>
            <w:rFonts w:ascii="Arial" w:cs="Arial" w:eastAsia="Arial" w:hAnsi="Arial"/>
            <w:b w:val="0"/>
            <w:i w:val="0"/>
            <w:smallCaps w:val="0"/>
            <w:strike w:val="0"/>
            <w:color w:val="0562c1"/>
            <w:sz w:val="22"/>
            <w:szCs w:val="22"/>
            <w:u w:val="single"/>
            <w:shd w:fill="auto" w:val="clear"/>
            <w:vertAlign w:val="baseline"/>
            <w:rtl w:val="0"/>
          </w:rPr>
          <w:t xml:space="preserve">https://www.mll.fi</w:t>
        </w:r>
      </w:hyperlink>
      <w:r w:rsidDel="00000000" w:rsidR="00000000" w:rsidRPr="00000000">
        <w:rPr>
          <w:rFonts w:ascii="Arial" w:cs="Arial" w:eastAsia="Arial" w:hAnsi="Arial"/>
          <w:b w:val="0"/>
          <w:i w:val="0"/>
          <w:smallCaps w:val="0"/>
          <w:strike w:val="0"/>
          <w:color w:val="0562c1"/>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Lojos stadsstrategi 2018–2016 Stadsfullmäktige 15.11.2017</w:t>
      </w:r>
    </w:p>
    <w:sectPr>
      <w:type w:val="nextPage"/>
      <w:pgSz w:h="16840" w:w="11910" w:orient="portrait"/>
      <w:pgMar w:bottom="1200" w:top="940" w:left="1020" w:right="1020" w:header="712" w:footer="10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6070600</wp:posOffset>
              </wp:positionH>
              <wp:positionV relativeFrom="paragraph">
                <wp:posOffset>9906000</wp:posOffset>
              </wp:positionV>
              <wp:extent cx="176530" cy="191770"/>
              <wp:effectExtent b="0" l="0" r="0" t="0"/>
              <wp:wrapNone/>
              <wp:docPr id="5" name=""/>
              <a:graphic>
                <a:graphicData uri="http://schemas.microsoft.com/office/word/2010/wordprocessingShape">
                  <wps:wsp>
                    <wps:cNvSpPr/>
                    <wps:cNvPr id="2" name="Shape 2"/>
                    <wps:spPr>
                      <a:xfrm>
                        <a:off x="5262498" y="3688878"/>
                        <a:ext cx="167005" cy="182245"/>
                      </a:xfrm>
                      <a:prstGeom prst="rect">
                        <a:avLst/>
                      </a:prstGeom>
                      <a:noFill/>
                      <a:ln>
                        <a:noFill/>
                      </a:ln>
                    </wps:spPr>
                    <wps:txbx>
                      <w:txbxContent>
                        <w:p w:rsidR="00000000" w:rsidDel="00000000" w:rsidP="00000000" w:rsidRDefault="00000000" w:rsidRPr="00000000">
                          <w:pPr>
                            <w:spacing w:after="0" w:before="12.999999523162842" w:line="240"/>
                            <w:ind w:left="6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6070600</wp:posOffset>
              </wp:positionH>
              <wp:positionV relativeFrom="paragraph">
                <wp:posOffset>9906000</wp:posOffset>
              </wp:positionV>
              <wp:extent cx="176530" cy="191770"/>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76530" cy="1917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7200" w:right="0" w:firstLine="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496" w:hanging="384"/>
      </w:pPr>
      <w:rPr/>
    </w:lvl>
    <w:lvl w:ilvl="1">
      <w:start w:val="3"/>
      <w:numFmt w:val="decimal"/>
      <w:lvlText w:val="%1.%2"/>
      <w:lvlJc w:val="left"/>
      <w:pPr>
        <w:ind w:left="496" w:hanging="384"/>
      </w:pPr>
      <w:rPr>
        <w:rFonts w:ascii="Calibri" w:cs="Calibri" w:eastAsia="Calibri" w:hAnsi="Calibri"/>
        <w:b w:val="0"/>
        <w:i w:val="0"/>
        <w:color w:val="2d74b5"/>
        <w:sz w:val="26"/>
        <w:szCs w:val="26"/>
      </w:rPr>
    </w:lvl>
    <w:lvl w:ilvl="2">
      <w:start w:val="0"/>
      <w:numFmt w:val="bullet"/>
      <w:lvlText w:val="●"/>
      <w:lvlJc w:val="left"/>
      <w:pPr>
        <w:ind w:left="832" w:hanging="360"/>
      </w:pPr>
      <w:rPr>
        <w:rFonts w:ascii="Noto Sans Symbols" w:cs="Noto Sans Symbols" w:eastAsia="Noto Sans Symbols" w:hAnsi="Noto Sans Symbols"/>
        <w:b w:val="0"/>
        <w:i w:val="0"/>
        <w:sz w:val="22"/>
        <w:szCs w:val="22"/>
      </w:rPr>
    </w:lvl>
    <w:lvl w:ilvl="3">
      <w:start w:val="0"/>
      <w:numFmt w:val="bullet"/>
      <w:lvlText w:val="•"/>
      <w:lvlJc w:val="left"/>
      <w:pPr>
        <w:ind w:left="2845" w:hanging="360"/>
      </w:pPr>
      <w:rPr/>
    </w:lvl>
    <w:lvl w:ilvl="4">
      <w:start w:val="0"/>
      <w:numFmt w:val="bullet"/>
      <w:lvlText w:val="•"/>
      <w:lvlJc w:val="left"/>
      <w:pPr>
        <w:ind w:left="3848" w:hanging="360"/>
      </w:pPr>
      <w:rPr/>
    </w:lvl>
    <w:lvl w:ilvl="5">
      <w:start w:val="0"/>
      <w:numFmt w:val="bullet"/>
      <w:lvlText w:val="•"/>
      <w:lvlJc w:val="left"/>
      <w:pPr>
        <w:ind w:left="4851" w:hanging="360"/>
      </w:pPr>
      <w:rPr/>
    </w:lvl>
    <w:lvl w:ilvl="6">
      <w:start w:val="0"/>
      <w:numFmt w:val="bullet"/>
      <w:lvlText w:val="•"/>
      <w:lvlJc w:val="left"/>
      <w:pPr>
        <w:ind w:left="5854" w:hanging="360"/>
      </w:pPr>
      <w:rPr/>
    </w:lvl>
    <w:lvl w:ilvl="7">
      <w:start w:val="0"/>
      <w:numFmt w:val="bullet"/>
      <w:lvlText w:val="•"/>
      <w:lvlJc w:val="left"/>
      <w:pPr>
        <w:ind w:left="6857" w:hanging="360"/>
      </w:pPr>
      <w:rPr/>
    </w:lvl>
    <w:lvl w:ilvl="8">
      <w:start w:val="0"/>
      <w:numFmt w:val="bullet"/>
      <w:lvlText w:val="•"/>
      <w:lvlJc w:val="left"/>
      <w:pPr>
        <w:ind w:left="7860" w:hanging="360"/>
      </w:pPr>
      <w:rPr/>
    </w:lvl>
  </w:abstractNum>
  <w:abstractNum w:abstractNumId="2">
    <w:lvl w:ilvl="0">
      <w:start w:val="0"/>
      <w:numFmt w:val="bullet"/>
      <w:lvlText w:val="●"/>
      <w:lvlJc w:val="left"/>
      <w:pPr>
        <w:ind w:left="895" w:hanging="424"/>
      </w:pPr>
      <w:rPr>
        <w:rFonts w:ascii="Noto Sans Symbols" w:cs="Noto Sans Symbols" w:eastAsia="Noto Sans Symbols" w:hAnsi="Noto Sans Symbols"/>
        <w:b w:val="0"/>
        <w:i w:val="0"/>
        <w:sz w:val="22"/>
        <w:szCs w:val="22"/>
      </w:rPr>
    </w:lvl>
    <w:lvl w:ilvl="1">
      <w:start w:val="0"/>
      <w:numFmt w:val="bullet"/>
      <w:lvlText w:val="•"/>
      <w:lvlJc w:val="left"/>
      <w:pPr>
        <w:ind w:left="1796" w:hanging="424"/>
      </w:pPr>
      <w:rPr/>
    </w:lvl>
    <w:lvl w:ilvl="2">
      <w:start w:val="0"/>
      <w:numFmt w:val="bullet"/>
      <w:lvlText w:val="•"/>
      <w:lvlJc w:val="left"/>
      <w:pPr>
        <w:ind w:left="2693" w:hanging="424"/>
      </w:pPr>
      <w:rPr/>
    </w:lvl>
    <w:lvl w:ilvl="3">
      <w:start w:val="0"/>
      <w:numFmt w:val="bullet"/>
      <w:lvlText w:val="•"/>
      <w:lvlJc w:val="left"/>
      <w:pPr>
        <w:ind w:left="3589" w:hanging="424"/>
      </w:pPr>
      <w:rPr/>
    </w:lvl>
    <w:lvl w:ilvl="4">
      <w:start w:val="0"/>
      <w:numFmt w:val="bullet"/>
      <w:lvlText w:val="•"/>
      <w:lvlJc w:val="left"/>
      <w:pPr>
        <w:ind w:left="4486" w:hanging="423.99999999999955"/>
      </w:pPr>
      <w:rPr/>
    </w:lvl>
    <w:lvl w:ilvl="5">
      <w:start w:val="0"/>
      <w:numFmt w:val="bullet"/>
      <w:lvlText w:val="•"/>
      <w:lvlJc w:val="left"/>
      <w:pPr>
        <w:ind w:left="5383" w:hanging="424"/>
      </w:pPr>
      <w:rPr/>
    </w:lvl>
    <w:lvl w:ilvl="6">
      <w:start w:val="0"/>
      <w:numFmt w:val="bullet"/>
      <w:lvlText w:val="•"/>
      <w:lvlJc w:val="left"/>
      <w:pPr>
        <w:ind w:left="6279" w:hanging="424"/>
      </w:pPr>
      <w:rPr/>
    </w:lvl>
    <w:lvl w:ilvl="7">
      <w:start w:val="0"/>
      <w:numFmt w:val="bullet"/>
      <w:lvlText w:val="•"/>
      <w:lvlJc w:val="left"/>
      <w:pPr>
        <w:ind w:left="7176" w:hanging="424"/>
      </w:pPr>
      <w:rPr/>
    </w:lvl>
    <w:lvl w:ilvl="8">
      <w:start w:val="0"/>
      <w:numFmt w:val="bullet"/>
      <w:lvlText w:val="•"/>
      <w:lvlJc w:val="left"/>
      <w:pPr>
        <w:ind w:left="8073" w:hanging="424"/>
      </w:pPr>
      <w:rPr/>
    </w:lvl>
  </w:abstractNum>
  <w:abstractNum w:abstractNumId="3">
    <w:lvl w:ilvl="0">
      <w:start w:val="1"/>
      <w:numFmt w:val="decimal"/>
      <w:lvlText w:val="%1."/>
      <w:lvlJc w:val="left"/>
      <w:pPr>
        <w:ind w:left="352" w:hanging="239.99999999999997"/>
      </w:pPr>
      <w:rPr>
        <w:rFonts w:ascii="Calibri" w:cs="Calibri" w:eastAsia="Calibri" w:hAnsi="Calibri"/>
        <w:b w:val="0"/>
        <w:i w:val="0"/>
        <w:color w:val="2d74b5"/>
        <w:sz w:val="30"/>
        <w:szCs w:val="30"/>
      </w:rPr>
    </w:lvl>
    <w:lvl w:ilvl="1">
      <w:start w:val="1"/>
      <w:numFmt w:val="decimal"/>
      <w:lvlText w:val="%1.%2."/>
      <w:lvlJc w:val="left"/>
      <w:pPr>
        <w:ind w:left="560" w:hanging="449"/>
      </w:pPr>
      <w:rPr>
        <w:rFonts w:ascii="Calibri" w:cs="Calibri" w:eastAsia="Calibri" w:hAnsi="Calibri"/>
        <w:b w:val="0"/>
        <w:i w:val="0"/>
        <w:color w:val="2d74b5"/>
        <w:sz w:val="26"/>
        <w:szCs w:val="26"/>
      </w:rPr>
    </w:lvl>
    <w:lvl w:ilvl="2">
      <w:start w:val="1"/>
      <w:numFmt w:val="decimal"/>
      <w:lvlText w:val="%3."/>
      <w:lvlJc w:val="left"/>
      <w:pPr>
        <w:ind w:left="1662" w:hanging="247"/>
      </w:pPr>
      <w:rPr>
        <w:rFonts w:ascii="Arial" w:cs="Arial" w:eastAsia="Arial" w:hAnsi="Arial"/>
        <w:b w:val="0"/>
        <w:i w:val="0"/>
        <w:sz w:val="22"/>
        <w:szCs w:val="22"/>
      </w:rPr>
    </w:lvl>
    <w:lvl w:ilvl="3">
      <w:start w:val="0"/>
      <w:numFmt w:val="bullet"/>
      <w:lvlText w:val="•"/>
      <w:lvlJc w:val="left"/>
      <w:pPr>
        <w:ind w:left="2685" w:hanging="247"/>
      </w:pPr>
      <w:rPr/>
    </w:lvl>
    <w:lvl w:ilvl="4">
      <w:start w:val="0"/>
      <w:numFmt w:val="bullet"/>
      <w:lvlText w:val="•"/>
      <w:lvlJc w:val="left"/>
      <w:pPr>
        <w:ind w:left="3711" w:hanging="246.99999999999955"/>
      </w:pPr>
      <w:rPr/>
    </w:lvl>
    <w:lvl w:ilvl="5">
      <w:start w:val="0"/>
      <w:numFmt w:val="bullet"/>
      <w:lvlText w:val="•"/>
      <w:lvlJc w:val="left"/>
      <w:pPr>
        <w:ind w:left="4737" w:hanging="247"/>
      </w:pPr>
      <w:rPr/>
    </w:lvl>
    <w:lvl w:ilvl="6">
      <w:start w:val="0"/>
      <w:numFmt w:val="bullet"/>
      <w:lvlText w:val="•"/>
      <w:lvlJc w:val="left"/>
      <w:pPr>
        <w:ind w:left="5763" w:hanging="247.0000000000009"/>
      </w:pPr>
      <w:rPr/>
    </w:lvl>
    <w:lvl w:ilvl="7">
      <w:start w:val="0"/>
      <w:numFmt w:val="bullet"/>
      <w:lvlText w:val="•"/>
      <w:lvlJc w:val="left"/>
      <w:pPr>
        <w:ind w:left="6789" w:hanging="247.0000000000009"/>
      </w:pPr>
      <w:rPr/>
    </w:lvl>
    <w:lvl w:ilvl="8">
      <w:start w:val="0"/>
      <w:numFmt w:val="bullet"/>
      <w:lvlText w:val="•"/>
      <w:lvlJc w:val="left"/>
      <w:pPr>
        <w:ind w:left="7814" w:hanging="247.0000000000009"/>
      </w:pPr>
      <w:rPr/>
    </w:lvl>
  </w:abstractNum>
  <w:abstractNum w:abstractNumId="4">
    <w:lvl w:ilvl="0">
      <w:start w:val="4"/>
      <w:numFmt w:val="decimal"/>
      <w:lvlText w:val="%1"/>
      <w:lvlJc w:val="left"/>
      <w:pPr>
        <w:ind w:left="496" w:hanging="384"/>
      </w:pPr>
      <w:rPr/>
    </w:lvl>
    <w:lvl w:ilvl="1">
      <w:start w:val="5"/>
      <w:numFmt w:val="decimal"/>
      <w:lvlText w:val="%1.%2"/>
      <w:lvlJc w:val="left"/>
      <w:pPr>
        <w:ind w:left="496" w:hanging="384"/>
      </w:pPr>
      <w:rPr>
        <w:rFonts w:ascii="Calibri" w:cs="Calibri" w:eastAsia="Calibri" w:hAnsi="Calibri"/>
        <w:b w:val="0"/>
        <w:i w:val="0"/>
        <w:color w:val="2d74b5"/>
        <w:sz w:val="26"/>
        <w:szCs w:val="26"/>
      </w:rPr>
    </w:lvl>
    <w:lvl w:ilvl="2">
      <w:start w:val="0"/>
      <w:numFmt w:val="bullet"/>
      <w:lvlText w:val="•"/>
      <w:lvlJc w:val="left"/>
      <w:pPr>
        <w:ind w:left="2373" w:hanging="384"/>
      </w:pPr>
      <w:rPr/>
    </w:lvl>
    <w:lvl w:ilvl="3">
      <w:start w:val="0"/>
      <w:numFmt w:val="bullet"/>
      <w:lvlText w:val="•"/>
      <w:lvlJc w:val="left"/>
      <w:pPr>
        <w:ind w:left="3309" w:hanging="384"/>
      </w:pPr>
      <w:rPr/>
    </w:lvl>
    <w:lvl w:ilvl="4">
      <w:start w:val="0"/>
      <w:numFmt w:val="bullet"/>
      <w:lvlText w:val="•"/>
      <w:lvlJc w:val="left"/>
      <w:pPr>
        <w:ind w:left="4246" w:hanging="383.99999999999955"/>
      </w:pPr>
      <w:rPr/>
    </w:lvl>
    <w:lvl w:ilvl="5">
      <w:start w:val="0"/>
      <w:numFmt w:val="bullet"/>
      <w:lvlText w:val="•"/>
      <w:lvlJc w:val="left"/>
      <w:pPr>
        <w:ind w:left="5183" w:hanging="384"/>
      </w:pPr>
      <w:rPr/>
    </w:lvl>
    <w:lvl w:ilvl="6">
      <w:start w:val="0"/>
      <w:numFmt w:val="bullet"/>
      <w:lvlText w:val="•"/>
      <w:lvlJc w:val="left"/>
      <w:pPr>
        <w:ind w:left="6119" w:hanging="384"/>
      </w:pPr>
      <w:rPr/>
    </w:lvl>
    <w:lvl w:ilvl="7">
      <w:start w:val="0"/>
      <w:numFmt w:val="bullet"/>
      <w:lvlText w:val="•"/>
      <w:lvlJc w:val="left"/>
      <w:pPr>
        <w:ind w:left="7056" w:hanging="384"/>
      </w:pPr>
      <w:rPr/>
    </w:lvl>
    <w:lvl w:ilvl="8">
      <w:start w:val="0"/>
      <w:numFmt w:val="bullet"/>
      <w:lvlText w:val="•"/>
      <w:lvlJc w:val="left"/>
      <w:pPr>
        <w:ind w:left="7993" w:hanging="384"/>
      </w:pPr>
      <w:rPr/>
    </w:lvl>
  </w:abstractNum>
  <w:abstractNum w:abstractNumId="5">
    <w:lvl w:ilvl="0">
      <w:start w:val="4"/>
      <w:numFmt w:val="decimal"/>
      <w:lvlText w:val="%1"/>
      <w:lvlJc w:val="left"/>
      <w:pPr>
        <w:ind w:left="559" w:hanging="447.00000000000006"/>
      </w:pPr>
      <w:rPr/>
    </w:lvl>
    <w:lvl w:ilvl="1">
      <w:start w:val="4"/>
      <w:numFmt w:val="decimal"/>
      <w:lvlText w:val="%1.%2."/>
      <w:lvlJc w:val="left"/>
      <w:pPr>
        <w:ind w:left="559" w:hanging="447.00000000000006"/>
      </w:pPr>
      <w:rPr>
        <w:rFonts w:ascii="Calibri" w:cs="Calibri" w:eastAsia="Calibri" w:hAnsi="Calibri"/>
        <w:b w:val="0"/>
        <w:i w:val="0"/>
        <w:color w:val="2d74b5"/>
        <w:sz w:val="26"/>
        <w:szCs w:val="26"/>
      </w:rPr>
    </w:lvl>
    <w:lvl w:ilvl="2">
      <w:start w:val="0"/>
      <w:numFmt w:val="bullet"/>
      <w:lvlText w:val="•"/>
      <w:lvlJc w:val="left"/>
      <w:pPr>
        <w:ind w:left="2421" w:hanging="447.0000000000002"/>
      </w:pPr>
      <w:rPr/>
    </w:lvl>
    <w:lvl w:ilvl="3">
      <w:start w:val="0"/>
      <w:numFmt w:val="bullet"/>
      <w:lvlText w:val="•"/>
      <w:lvlJc w:val="left"/>
      <w:pPr>
        <w:ind w:left="3351" w:hanging="446.99999999999955"/>
      </w:pPr>
      <w:rPr/>
    </w:lvl>
    <w:lvl w:ilvl="4">
      <w:start w:val="0"/>
      <w:numFmt w:val="bullet"/>
      <w:lvlText w:val="•"/>
      <w:lvlJc w:val="left"/>
      <w:pPr>
        <w:ind w:left="4282" w:hanging="447"/>
      </w:pPr>
      <w:rPr/>
    </w:lvl>
    <w:lvl w:ilvl="5">
      <w:start w:val="0"/>
      <w:numFmt w:val="bullet"/>
      <w:lvlText w:val="•"/>
      <w:lvlJc w:val="left"/>
      <w:pPr>
        <w:ind w:left="5213" w:hanging="447"/>
      </w:pPr>
      <w:rPr/>
    </w:lvl>
    <w:lvl w:ilvl="6">
      <w:start w:val="0"/>
      <w:numFmt w:val="bullet"/>
      <w:lvlText w:val="•"/>
      <w:lvlJc w:val="left"/>
      <w:pPr>
        <w:ind w:left="6143" w:hanging="447.0000000000009"/>
      </w:pPr>
      <w:rPr/>
    </w:lvl>
    <w:lvl w:ilvl="7">
      <w:start w:val="0"/>
      <w:numFmt w:val="bullet"/>
      <w:lvlText w:val="•"/>
      <w:lvlJc w:val="left"/>
      <w:pPr>
        <w:ind w:left="7074" w:hanging="447.0000000000009"/>
      </w:pPr>
      <w:rPr/>
    </w:lvl>
    <w:lvl w:ilvl="8">
      <w:start w:val="0"/>
      <w:numFmt w:val="bullet"/>
      <w:lvlText w:val="•"/>
      <w:lvlJc w:val="left"/>
      <w:pPr>
        <w:ind w:left="8005" w:hanging="447"/>
      </w:pPr>
      <w:rPr/>
    </w:lvl>
  </w:abstractNum>
  <w:abstractNum w:abstractNumId="6">
    <w:lvl w:ilvl="0">
      <w:start w:val="4"/>
      <w:numFmt w:val="decimal"/>
      <w:lvlText w:val="%1"/>
      <w:lvlJc w:val="left"/>
      <w:pPr>
        <w:ind w:left="496" w:hanging="384"/>
      </w:pPr>
      <w:rPr/>
    </w:lvl>
    <w:lvl w:ilvl="1">
      <w:start w:val="2"/>
      <w:numFmt w:val="decimal"/>
      <w:lvlText w:val="%1.%2"/>
      <w:lvlJc w:val="left"/>
      <w:pPr>
        <w:ind w:left="496" w:hanging="384"/>
      </w:pPr>
      <w:rPr>
        <w:rFonts w:ascii="Calibri" w:cs="Calibri" w:eastAsia="Calibri" w:hAnsi="Calibri"/>
        <w:b w:val="0"/>
        <w:i w:val="0"/>
        <w:color w:val="2d74b5"/>
        <w:sz w:val="26"/>
        <w:szCs w:val="26"/>
      </w:rPr>
    </w:lvl>
    <w:lvl w:ilvl="2">
      <w:start w:val="0"/>
      <w:numFmt w:val="bullet"/>
      <w:lvlText w:val="•"/>
      <w:lvlJc w:val="left"/>
      <w:pPr>
        <w:ind w:left="2373" w:hanging="384"/>
      </w:pPr>
      <w:rPr/>
    </w:lvl>
    <w:lvl w:ilvl="3">
      <w:start w:val="0"/>
      <w:numFmt w:val="bullet"/>
      <w:lvlText w:val="•"/>
      <w:lvlJc w:val="left"/>
      <w:pPr>
        <w:ind w:left="3309" w:hanging="384"/>
      </w:pPr>
      <w:rPr/>
    </w:lvl>
    <w:lvl w:ilvl="4">
      <w:start w:val="0"/>
      <w:numFmt w:val="bullet"/>
      <w:lvlText w:val="•"/>
      <w:lvlJc w:val="left"/>
      <w:pPr>
        <w:ind w:left="4246" w:hanging="383.99999999999955"/>
      </w:pPr>
      <w:rPr/>
    </w:lvl>
    <w:lvl w:ilvl="5">
      <w:start w:val="0"/>
      <w:numFmt w:val="bullet"/>
      <w:lvlText w:val="•"/>
      <w:lvlJc w:val="left"/>
      <w:pPr>
        <w:ind w:left="5183" w:hanging="384"/>
      </w:pPr>
      <w:rPr/>
    </w:lvl>
    <w:lvl w:ilvl="6">
      <w:start w:val="0"/>
      <w:numFmt w:val="bullet"/>
      <w:lvlText w:val="•"/>
      <w:lvlJc w:val="left"/>
      <w:pPr>
        <w:ind w:left="6119" w:hanging="384"/>
      </w:pPr>
      <w:rPr/>
    </w:lvl>
    <w:lvl w:ilvl="7">
      <w:start w:val="0"/>
      <w:numFmt w:val="bullet"/>
      <w:lvlText w:val="•"/>
      <w:lvlJc w:val="left"/>
      <w:pPr>
        <w:ind w:left="7056" w:hanging="384"/>
      </w:pPr>
      <w:rPr/>
    </w:lvl>
    <w:lvl w:ilvl="8">
      <w:start w:val="0"/>
      <w:numFmt w:val="bullet"/>
      <w:lvlText w:val="•"/>
      <w:lvlJc w:val="left"/>
      <w:pPr>
        <w:ind w:left="7993" w:hanging="384"/>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F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24" w:hanging="313"/>
    </w:pPr>
    <w:rPr>
      <w:rFonts w:ascii="Calibri" w:cs="Calibri" w:eastAsia="Calibri" w:hAnsi="Calibri"/>
      <w:sz w:val="32"/>
      <w:szCs w:val="32"/>
    </w:rPr>
  </w:style>
  <w:style w:type="paragraph" w:styleId="Heading2">
    <w:name w:val="heading 2"/>
    <w:basedOn w:val="Normal"/>
    <w:next w:val="Normal"/>
    <w:pPr>
      <w:ind w:left="496" w:hanging="384"/>
    </w:pPr>
    <w:rPr>
      <w:rFonts w:ascii="Calibri" w:cs="Calibri" w:eastAsia="Calibri" w:hAnsi="Calibri"/>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7" w:lineRule="auto"/>
      <w:ind w:left="811" w:right="865"/>
    </w:pPr>
    <w:rPr>
      <w:sz w:val="72"/>
      <w:szCs w:val="72"/>
    </w:rPr>
  </w:style>
  <w:style w:type="paragraph" w:styleId="Normaali" w:default="1">
    <w:name w:val="Normal"/>
    <w:qFormat w:val="1"/>
    <w:rPr>
      <w:rFonts w:ascii="Arial" w:cs="Arial" w:eastAsia="Arial" w:hAnsi="Arial"/>
    </w:rPr>
  </w:style>
  <w:style w:type="paragraph" w:styleId="Otsikko1">
    <w:name w:val="heading 1"/>
    <w:basedOn w:val="Normaali"/>
    <w:uiPriority w:val="9"/>
    <w:qFormat w:val="1"/>
    <w:pPr>
      <w:ind w:left="424" w:hanging="313"/>
      <w:outlineLvl w:val="0"/>
    </w:pPr>
    <w:rPr>
      <w:rFonts w:ascii="Calibri" w:cs="Calibri" w:eastAsia="Calibri" w:hAnsi="Calibri"/>
      <w:sz w:val="32"/>
      <w:szCs w:val="32"/>
    </w:rPr>
  </w:style>
  <w:style w:type="paragraph" w:styleId="Otsikko2">
    <w:name w:val="heading 2"/>
    <w:basedOn w:val="Normaali"/>
    <w:uiPriority w:val="9"/>
    <w:unhideWhenUsed w:val="1"/>
    <w:qFormat w:val="1"/>
    <w:pPr>
      <w:ind w:left="496" w:hanging="384"/>
      <w:outlineLvl w:val="1"/>
    </w:pPr>
    <w:rPr>
      <w:rFonts w:ascii="Calibri" w:cs="Calibri" w:eastAsia="Calibri" w:hAnsi="Calibri"/>
      <w:sz w:val="26"/>
      <w:szCs w:val="26"/>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Sisluet1">
    <w:name w:val="toc 1"/>
    <w:basedOn w:val="Normaali"/>
    <w:uiPriority w:val="39"/>
    <w:qFormat w:val="1"/>
    <w:pPr>
      <w:spacing w:before="122"/>
      <w:ind w:left="357" w:hanging="246"/>
    </w:pPr>
  </w:style>
  <w:style w:type="paragraph" w:styleId="Sisluet2">
    <w:name w:val="toc 2"/>
    <w:basedOn w:val="Normaali"/>
    <w:uiPriority w:val="39"/>
    <w:qFormat w:val="1"/>
    <w:pPr>
      <w:spacing w:before="119"/>
      <w:ind w:left="701" w:hanging="432"/>
    </w:pPr>
  </w:style>
  <w:style w:type="paragraph" w:styleId="Leipteksti">
    <w:name w:val="Body Text"/>
    <w:basedOn w:val="Normaali"/>
    <w:uiPriority w:val="1"/>
    <w:qFormat w:val="1"/>
  </w:style>
  <w:style w:type="paragraph" w:styleId="Otsikko">
    <w:name w:val="Title"/>
    <w:basedOn w:val="Normaali"/>
    <w:uiPriority w:val="10"/>
    <w:qFormat w:val="1"/>
    <w:pPr>
      <w:spacing w:before="77"/>
      <w:ind w:left="811" w:right="865"/>
    </w:pPr>
    <w:rPr>
      <w:sz w:val="72"/>
      <w:szCs w:val="72"/>
    </w:rPr>
  </w:style>
  <w:style w:type="paragraph" w:styleId="Luettelokappale">
    <w:name w:val="List Paragraph"/>
    <w:basedOn w:val="Normaali"/>
    <w:uiPriority w:val="1"/>
    <w:qFormat w:val="1"/>
    <w:pPr>
      <w:ind w:left="831" w:hanging="360"/>
    </w:pPr>
  </w:style>
  <w:style w:type="paragraph" w:styleId="TableParagraph" w:customStyle="1">
    <w:name w:val="Table Paragraph"/>
    <w:basedOn w:val="Normaali"/>
    <w:uiPriority w:val="1"/>
    <w:qFormat w:val="1"/>
  </w:style>
  <w:style w:type="character" w:styleId="Hyperlinkki">
    <w:name w:val="Hyperlink"/>
    <w:basedOn w:val="Kappaleenoletusfontti"/>
    <w:uiPriority w:val="99"/>
    <w:unhideWhenUsed w:val="1"/>
    <w:rsid w:val="0020311D"/>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mll.fi/" TargetMode="External"/><Relationship Id="rId10" Type="http://schemas.openxmlformats.org/officeDocument/2006/relationships/hyperlink" Target="http://www.yhdenvertaisuus.fi/"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67L2tXqNmA4UODL/PXIvk/4QA==">AMUW2mVgvX4CDPTLvh8r6uATTQJFzDso9gqN8MVN/H5lrfa5kpFprs9OzCx9ARu9FYwlYyvH95KV225nr10HMtVMJEVFdm+m18MfQxXv55khsYOKTW44tYGqxkwqwpkhKv5MzLs1qI7TzvazrbrVEONWdg6DEZd83Vx8xeZZ8lBbkMUE2JA4ZwFOv01nXXpxtNgTOXpCWRmjzZV2ohXzRJIkfsQROGYyxrtdT0QzI43e1pjAmYBHi7ZM2MgxA9ENLEtlbzkG7A8cOPKs/Rpe3hcGydOJFY37kyEbWVcqzr9rU8UyqRFyOjIaRYvqwxYiHuSeuMO7rBX2qBMU6hRnZ4Dkp1hMAnnz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2022-10-11T08:49:00Z</dcterms:created>
  <dc:creator>panu.ruoste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LastSaved">
    <vt:filetime>2022-09-15T00:00:00Z</vt:filetime>
  </property>
  <property fmtid="{D5CDD505-2E9C-101B-9397-08002B2CF9AE}" pid="4" name="Producer">
    <vt:lpwstr>Microsoft: Print To PDF</vt:lpwstr>
  </property>
</Properties>
</file>