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29" w:rsidRDefault="00292929" w:rsidP="00292929">
      <w:pPr>
        <w:pStyle w:val="Otsikko1"/>
      </w:pPr>
      <w:bookmarkStart w:id="0" w:name="_Toc58933955"/>
      <w:bookmarkStart w:id="1" w:name="_Toc55381288"/>
      <w:bookmarkStart w:id="2" w:name="_Toc55380594"/>
      <w:bookmarkStart w:id="3" w:name="_GoBack"/>
      <w:bookmarkEnd w:id="3"/>
      <w:r>
        <w:t>Terveystieto</w:t>
      </w:r>
      <w:bookmarkEnd w:id="0"/>
      <w:bookmarkEnd w:id="1"/>
      <w:bookmarkEnd w:id="2"/>
    </w:p>
    <w:p w:rsidR="00292929" w:rsidRDefault="00292929" w:rsidP="00292929">
      <w:pPr>
        <w:pStyle w:val="paragraph"/>
        <w:spacing w:before="0" w:beforeAutospacing="0" w:after="0" w:afterAutospacing="0" w:line="276" w:lineRule="auto"/>
        <w:contextualSpacing/>
        <w:jc w:val="both"/>
        <w:textAlignment w:val="baseline"/>
        <w:rPr>
          <w:rFonts w:asciiTheme="minorHAnsi" w:hAnsiTheme="minorHAnsi" w:cstheme="minorHAnsi"/>
        </w:rPr>
      </w:pPr>
      <w:r>
        <w:rPr>
          <w:rStyle w:val="normaltextrun"/>
          <w:rFonts w:asciiTheme="minorHAnsi" w:eastAsiaTheme="majorEastAsia" w:hAnsiTheme="minorHAnsi" w:cstheme="minorHAnsi"/>
          <w:b/>
          <w:bCs/>
        </w:rPr>
        <w:t>Oppilaan oppimisen ja osaamisen arviointi terveystiedossa vuosiluokilla </w:t>
      </w:r>
      <w:r>
        <w:rPr>
          <w:rStyle w:val="contextualspellingandgrammarerror"/>
          <w:rFonts w:asciiTheme="minorHAnsi" w:hAnsiTheme="minorHAnsi" w:cstheme="minorHAnsi"/>
          <w:b/>
          <w:bCs/>
        </w:rPr>
        <w:t>7–9</w:t>
      </w:r>
      <w:r>
        <w:rPr>
          <w:rStyle w:val="eop"/>
          <w:rFonts w:asciiTheme="minorHAnsi" w:hAnsiTheme="minorHAnsi" w:cstheme="minorHAnsi"/>
        </w:rPr>
        <w:t> </w:t>
      </w:r>
    </w:p>
    <w:p w:rsidR="00292929" w:rsidRDefault="00292929" w:rsidP="00292929">
      <w:pPr>
        <w:pStyle w:val="paragraph"/>
        <w:spacing w:before="0" w:beforeAutospacing="0" w:after="0" w:afterAutospacing="0" w:line="276" w:lineRule="auto"/>
        <w:contextualSpacing/>
        <w:textAlignment w:val="baseline"/>
        <w:rPr>
          <w:rFonts w:asciiTheme="minorHAnsi" w:hAnsiTheme="minorHAnsi" w:cstheme="minorHAnsi"/>
        </w:rPr>
      </w:pPr>
      <w:r>
        <w:rPr>
          <w:rStyle w:val="eop"/>
          <w:rFonts w:asciiTheme="minorHAnsi" w:hAnsiTheme="minorHAnsi" w:cstheme="minorHAnsi"/>
        </w:rPr>
        <w:t> </w:t>
      </w:r>
    </w:p>
    <w:p w:rsidR="00292929" w:rsidRDefault="00292929" w:rsidP="00292929">
      <w:pPr>
        <w:pStyle w:val="paragraph"/>
        <w:spacing w:before="0" w:beforeAutospacing="0" w:after="0" w:afterAutospacing="0" w:line="276" w:lineRule="auto"/>
        <w:contextualSpacing/>
        <w:jc w:val="both"/>
        <w:textAlignment w:val="baseline"/>
        <w:rPr>
          <w:rStyle w:val="eop"/>
        </w:rPr>
      </w:pPr>
      <w:r>
        <w:rPr>
          <w:rStyle w:val="normaltextrun"/>
          <w:rFonts w:asciiTheme="minorHAnsi" w:eastAsiaTheme="majorEastAsia" w:hAnsiTheme="minorHAnsi" w:cstheme="minorHAnsi"/>
        </w:rPr>
        <w:t xml:space="preserve">Terveystiedon arvioinnin kohteena on terveysosaamisen eri osa-alueiden arviointi. Arvioinnin ja palautteen tehtävänä on tukea oppimista ja kannustaa oppilaita kehittämään terveysosaamistaan sekä soveltamaan sitä arjessa. Oppilailla tulee olla mahdollisuus osoittaa osaamistaan monipuolisesti, opetuksen eri vaiheissa ja osaamisalueen ominaispiirteet huomioon ottaen. Oppimisen tukena käytetään myös </w:t>
      </w:r>
      <w:proofErr w:type="spellStart"/>
      <w:r>
        <w:rPr>
          <w:rStyle w:val="normaltextrun"/>
          <w:rFonts w:asciiTheme="minorHAnsi" w:eastAsiaTheme="majorEastAsia" w:hAnsiTheme="minorHAnsi" w:cstheme="minorHAnsi"/>
        </w:rPr>
        <w:t>itsearviointia</w:t>
      </w:r>
      <w:proofErr w:type="spellEnd"/>
      <w:r>
        <w:rPr>
          <w:rStyle w:val="normaltextrun"/>
          <w:rFonts w:asciiTheme="minorHAnsi" w:eastAsiaTheme="majorEastAsia" w:hAnsiTheme="minorHAnsi" w:cstheme="minorHAnsi"/>
        </w:rPr>
        <w:t xml:space="preserve"> ja vertaispalautetta. Terveystiedossa on erityisen tärkeätä huolehtia siitä, että arviointi ei kohdistu oppilaan arvoihin, asenteisiin, terveyskäyttäytymiseen, sosiaalisuuteen, temperamenttiin tai muihin henkilökohtaisiin ominaisuuksiin. Eettistä pohdintaa ja itsetuntemusta koskevissa tavoitteissa kiinnitetään huomiota siihen, miten oppilas pohtii ja perustelee käsiteltävää aihetta terveyden näkökulmasta, tiedonalan käsitteitä ja erilaisia lähteitä käyttäen. </w:t>
      </w:r>
      <w:r>
        <w:rPr>
          <w:rStyle w:val="eop"/>
          <w:rFonts w:asciiTheme="minorHAnsi" w:hAnsiTheme="minorHAnsi" w:cstheme="minorHAnsi"/>
        </w:rPr>
        <w:t> </w:t>
      </w:r>
    </w:p>
    <w:p w:rsidR="00292929" w:rsidRDefault="00292929" w:rsidP="00292929">
      <w:pPr>
        <w:pStyle w:val="paragraph"/>
        <w:spacing w:before="0" w:beforeAutospacing="0" w:after="0" w:afterAutospacing="0" w:line="276" w:lineRule="auto"/>
        <w:contextualSpacing/>
        <w:jc w:val="both"/>
        <w:textAlignment w:val="baseline"/>
      </w:pPr>
    </w:p>
    <w:p w:rsidR="00292929" w:rsidRDefault="00292929" w:rsidP="00292929">
      <w:pPr>
        <w:pStyle w:val="paragraph"/>
        <w:spacing w:before="0" w:beforeAutospacing="0" w:after="0" w:afterAutospacing="0" w:line="276" w:lineRule="auto"/>
        <w:contextualSpacing/>
        <w:jc w:val="both"/>
        <w:textAlignment w:val="baseline"/>
        <w:rPr>
          <w:rStyle w:val="eop"/>
        </w:rPr>
      </w:pPr>
      <w:r>
        <w:rPr>
          <w:rStyle w:val="normaltextrun"/>
          <w:rFonts w:asciiTheme="minorHAnsi" w:eastAsiaTheme="majorEastAsia" w:hAnsiTheme="minorHAnsi" w:cstheme="minorHAnsi"/>
        </w:rPr>
        <w:t>Päättöarviointi sijoittuu siihen lukuvuoteen, jona terveystiedon</w:t>
      </w:r>
      <w:r>
        <w:rPr>
          <w:rStyle w:val="normaltextrun"/>
          <w:rFonts w:asciiTheme="minorHAnsi" w:eastAsiaTheme="majorEastAsia" w:hAnsiTheme="minorHAnsi" w:cstheme="minorHAnsi"/>
          <w:b/>
          <w:bCs/>
        </w:rPr>
        <w:t> </w:t>
      </w:r>
      <w:r>
        <w:rPr>
          <w:rStyle w:val="normaltextrun"/>
          <w:rFonts w:asciiTheme="minorHAnsi" w:eastAsiaTheme="majorEastAsia" w:hAnsiTheme="minorHAnsi" w:cstheme="minorHAnsi"/>
        </w:rPr>
        <w:t>opiskelu päättyy kaikille yhteisenä oppiaineena vuosiluokilla 7, 8 tai 9 paikallisessa opetussuunnitelmassa päätetyn ja kuvatun tuntijaon mukaisesti. Päättöarviointi kuvaa sitä, kuinka hyvin ja missä määrin oppilas on opiskelun päättyessä saavuttanut terveystiedon</w:t>
      </w:r>
      <w:r>
        <w:rPr>
          <w:rStyle w:val="normaltextrun"/>
          <w:rFonts w:asciiTheme="minorHAnsi" w:eastAsiaTheme="majorEastAsia" w:hAnsiTheme="minorHAnsi" w:cstheme="minorHAnsi"/>
          <w:b/>
          <w:bCs/>
        </w:rPr>
        <w:t> </w:t>
      </w:r>
      <w:r>
        <w:rPr>
          <w:rStyle w:val="normaltextrun"/>
          <w:rFonts w:asciiTheme="minorHAnsi" w:eastAsiaTheme="majorEastAsia" w:hAnsiTheme="minorHAnsi" w:cstheme="minorHAnsi"/>
        </w:rPr>
        <w:t>oppimäärän tavoitteet. Päättöarvosanan muodostamisessa otetaan huomioon kaikki perusopetuksen opetussuunnitelman perusteissa määritellyt terveystiedon tavoitteet ja niihin liittyvät päättöarvioinnin kriteerit riippumatta siitä, mille vuosiluokalle 7, 8 tai 9 yksittäinen tavoite on asetettu paikallisessa opetussuunnitelmassa. Päättöarvosana on terveystiedon</w:t>
      </w:r>
      <w:r>
        <w:rPr>
          <w:rStyle w:val="normaltextrun"/>
          <w:rFonts w:asciiTheme="minorHAnsi" w:eastAsiaTheme="majorEastAsia" w:hAnsiTheme="minorHAnsi" w:cstheme="minorHAnsi"/>
          <w:b/>
          <w:bCs/>
        </w:rPr>
        <w:t> </w:t>
      </w:r>
      <w:r>
        <w:rPr>
          <w:rStyle w:val="normaltextrun"/>
          <w:rFonts w:asciiTheme="minorHAnsi" w:eastAsiaTheme="majorEastAsia" w:hAnsiTheme="minorHAnsi" w:cstheme="minorHAnsi"/>
        </w:rPr>
        <w:t>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terveystiedon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terveystiedon päättöarviointiin ja siitä muodostettavaan päättöarvosanaan.</w:t>
      </w:r>
      <w:r>
        <w:rPr>
          <w:rStyle w:val="eop"/>
          <w:rFonts w:asciiTheme="minorHAnsi" w:hAnsiTheme="minorHAnsi" w:cstheme="minorHAnsi"/>
        </w:rPr>
        <w:t> </w:t>
      </w:r>
    </w:p>
    <w:p w:rsidR="00292929" w:rsidRDefault="00292929" w:rsidP="00292929">
      <w:pPr>
        <w:pStyle w:val="paragraph"/>
        <w:spacing w:before="0" w:beforeAutospacing="0" w:after="0" w:afterAutospacing="0" w:line="276" w:lineRule="auto"/>
        <w:contextualSpacing/>
        <w:jc w:val="both"/>
        <w:textAlignment w:val="baseline"/>
      </w:pPr>
    </w:p>
    <w:p w:rsidR="00292929" w:rsidRDefault="00292929" w:rsidP="00292929">
      <w:pPr>
        <w:pStyle w:val="paragraph"/>
        <w:spacing w:before="0" w:beforeAutospacing="0" w:after="0" w:afterAutospacing="0" w:line="276" w:lineRule="auto"/>
        <w:contextualSpacing/>
        <w:jc w:val="both"/>
        <w:textAlignment w:val="baseline"/>
        <w:rPr>
          <w:rFonts w:asciiTheme="minorHAnsi" w:hAnsiTheme="minorHAnsi" w:cstheme="minorHAnsi"/>
        </w:rPr>
      </w:pPr>
      <w:r>
        <w:rPr>
          <w:rStyle w:val="normaltextrun"/>
          <w:rFonts w:asciiTheme="minorHAnsi" w:eastAsiaTheme="majorEastAsia" w:hAnsiTheme="minorHAnsi" w:cstheme="minorHAnsi"/>
        </w:rPr>
        <w:t>Oppilaan ohjaamisella terveystiedossa tarkoitetaan esimerkiksi suullisten lisäohjeiden antamista, ohjaavien kysymysten esittämistä, välineillä havainnollistamista tai vastaavien esimerkkien antamista. Kriteerikuvauksissa alempien arvosanojen osaamisen kuvaukset sisältyvät ylemmän arvosanan kuvauksiin.</w:t>
      </w:r>
      <w:r>
        <w:rPr>
          <w:rStyle w:val="eop"/>
          <w:rFonts w:asciiTheme="minorHAnsi" w:hAnsiTheme="minorHAnsi" w:cstheme="minorHAnsi"/>
        </w:rPr>
        <w:t> </w:t>
      </w:r>
    </w:p>
    <w:p w:rsidR="00292929" w:rsidRDefault="00292929" w:rsidP="00292929">
      <w:pPr>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1211"/>
        <w:gridCol w:w="2083"/>
        <w:gridCol w:w="2001"/>
        <w:gridCol w:w="1676"/>
        <w:gridCol w:w="1689"/>
        <w:gridCol w:w="1772"/>
        <w:gridCol w:w="1690"/>
      </w:tblGrid>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tcPr>
          <w:p w:rsidR="00292929" w:rsidRPr="00292929" w:rsidRDefault="00292929">
            <w:pPr>
              <w:spacing w:after="0"/>
              <w:ind w:left="40"/>
              <w:contextualSpacing/>
              <w:rPr>
                <w:rFonts w:cstheme="minorHAnsi"/>
                <w:b/>
              </w:rPr>
            </w:pPr>
            <w:r w:rsidRPr="00292929">
              <w:rPr>
                <w:rFonts w:cstheme="minorHAnsi"/>
                <w:b/>
              </w:rPr>
              <w:lastRenderedPageBreak/>
              <w:t>Opetuksen tavoite</w:t>
            </w:r>
          </w:p>
          <w:p w:rsidR="00292929" w:rsidRPr="00292929" w:rsidRDefault="00292929">
            <w:pPr>
              <w:spacing w:before="240" w:after="0"/>
              <w:ind w:left="40"/>
              <w:contextualSpacing/>
              <w:rPr>
                <w:rFonts w:cstheme="minorHAnsi"/>
                <w:b/>
              </w:rPr>
            </w:pP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292929" w:rsidRPr="00292929" w:rsidRDefault="00292929">
            <w:pPr>
              <w:spacing w:after="0"/>
              <w:ind w:left="40"/>
              <w:contextualSpacing/>
              <w:rPr>
                <w:rFonts w:cstheme="minorHAnsi"/>
                <w:b/>
              </w:rPr>
            </w:pPr>
            <w:r w:rsidRPr="00292929">
              <w:rPr>
                <w:rFonts w:cstheme="minorHAnsi"/>
                <w:b/>
              </w:rPr>
              <w:t>Sisältöalueet</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292929" w:rsidRPr="00292929" w:rsidRDefault="00292929">
            <w:pPr>
              <w:spacing w:after="0"/>
              <w:ind w:left="40"/>
              <w:contextualSpacing/>
              <w:rPr>
                <w:rFonts w:cstheme="minorHAnsi"/>
                <w:b/>
              </w:rPr>
            </w:pPr>
            <w:proofErr w:type="gramStart"/>
            <w:r w:rsidRPr="00292929">
              <w:rPr>
                <w:rFonts w:cstheme="minorHAnsi"/>
                <w:b/>
              </w:rPr>
              <w:t>Opetuksen tavoitteista johdetut oppimisen tavoitteet</w:t>
            </w:r>
            <w:proofErr w:type="gramEnd"/>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292929" w:rsidRPr="00292929" w:rsidRDefault="00292929">
            <w:pPr>
              <w:spacing w:after="0"/>
              <w:ind w:left="40"/>
              <w:contextualSpacing/>
              <w:rPr>
                <w:rFonts w:cstheme="minorHAnsi"/>
                <w:b/>
              </w:rPr>
            </w:pPr>
            <w:r w:rsidRPr="00292929">
              <w:rPr>
                <w:rFonts w:cstheme="minorHAnsi"/>
                <w:b/>
              </w:rPr>
              <w:t xml:space="preserve">Arvioinnin kohde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292929" w:rsidRPr="00292929" w:rsidRDefault="00292929">
            <w:pPr>
              <w:spacing w:after="0"/>
              <w:ind w:left="40"/>
              <w:contextualSpacing/>
              <w:rPr>
                <w:rFonts w:cstheme="minorHAnsi"/>
                <w:b/>
              </w:rPr>
            </w:pPr>
            <w:r w:rsidRPr="00292929">
              <w:rPr>
                <w:rFonts w:cstheme="minorHAnsi"/>
                <w:b/>
              </w:rPr>
              <w:t>Osaamisen kuvaus arvosanalle 5</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292929" w:rsidRPr="00292929" w:rsidRDefault="00292929">
            <w:pPr>
              <w:spacing w:after="0"/>
              <w:ind w:left="40"/>
              <w:contextualSpacing/>
              <w:rPr>
                <w:rFonts w:cstheme="minorHAnsi"/>
                <w:b/>
              </w:rPr>
            </w:pPr>
            <w:r w:rsidRPr="00292929">
              <w:rPr>
                <w:rFonts w:cstheme="minorHAnsi"/>
                <w:b/>
              </w:rPr>
              <w:t>Osaamisen kuvaus arvosanalle 7</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292929" w:rsidRPr="00292929" w:rsidRDefault="00292929">
            <w:pPr>
              <w:spacing w:after="0"/>
              <w:ind w:left="40"/>
              <w:contextualSpacing/>
              <w:rPr>
                <w:rFonts w:cstheme="minorHAnsi"/>
                <w:b/>
              </w:rPr>
            </w:pPr>
            <w:r w:rsidRPr="00292929">
              <w:rPr>
                <w:rFonts w:cstheme="minorHAnsi"/>
                <w:b/>
              </w:rPr>
              <w:t xml:space="preserve">Osaamisen kuvaus arvosanalle 8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292929" w:rsidRPr="00292929" w:rsidRDefault="00292929">
            <w:pPr>
              <w:spacing w:after="0"/>
              <w:ind w:left="40"/>
              <w:contextualSpacing/>
              <w:rPr>
                <w:rFonts w:cstheme="minorHAnsi"/>
                <w:b/>
              </w:rPr>
            </w:pPr>
            <w:r w:rsidRPr="00292929">
              <w:rPr>
                <w:rFonts w:cstheme="minorHAnsi"/>
                <w:b/>
              </w:rPr>
              <w:t>Osaamisen kuvaus arvosanalle 9</w:t>
            </w:r>
          </w:p>
        </w:tc>
      </w:tr>
      <w:tr w:rsidR="00292929" w:rsidRPr="00292929" w:rsidTr="00292929">
        <w:trPr>
          <w:trHeight w:val="284"/>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left="140" w:right="100"/>
              <w:contextualSpacing/>
              <w:rPr>
                <w:rFonts w:cstheme="minorHAnsi"/>
                <w:b/>
              </w:rPr>
            </w:pPr>
            <w:r w:rsidRPr="00292929">
              <w:rPr>
                <w:rFonts w:cstheme="minorHAnsi"/>
                <w:b/>
              </w:rPr>
              <w:t>Terveyttä tukeva kasvu ja kehitys</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proofErr w:type="gramStart"/>
            <w:r w:rsidRPr="00292929">
              <w:rPr>
                <w:rFonts w:cstheme="minorHAnsi"/>
              </w:rPr>
              <w:t>T1 ohjata oppilasta ymmärtämään terveyden laaja-alaisuutta, terveyden edistämistä sekä elämänkulkua, kasvua ja kehitystä voimavaralähtöisesti</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S1–S3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oppii tarkastelemaan terveyden laaja-alaisuutta, terveyden edistämistä sekä elämänkulkua, kasvua ja kehitystä voimavaralähtöisesti.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Terveyteen liittyvät käsitykset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nimetä yksittäisen terveyden osa-alueen.</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nimetä yksittäisen elämänkulun vaiheen.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kuvata esimerkkien avulla terveyden osa-alueita ja niiden välistä yhteyttä sekä antaa esimerkin, mitä terveyden edistämisellä tarkoitetaan.</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kuvata jotakin elämänkulun vaihetta sekä nimetä nuoruuden kasvun ja kehityksen piirteitä.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Oppilas osaa kuvata terveyden osa-alueet ja näiden välistä yhteyttä esimerkkien avulla sekä kuvata esimerkkien avulla, mitä terveyden edistämisellä tarkoitetaan.</w:t>
            </w:r>
          </w:p>
          <w:p w:rsidR="00292929" w:rsidRPr="00292929" w:rsidRDefault="00292929">
            <w:pPr>
              <w:spacing w:after="0"/>
              <w:ind w:left="140"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Oppilas osaa kuvata elämänkulun vaiheita, erityisesti nuoruuden kehitystä, ja kuvata esimerkkien avulla </w:t>
            </w:r>
            <w:r w:rsidRPr="00292929">
              <w:rPr>
                <w:rFonts w:cstheme="minorHAnsi"/>
              </w:rPr>
              <w:lastRenderedPageBreak/>
              <w:t>terveyden, kasvun ja kehityksen merkitystä elämän voimavarana.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Oppilas osaa kuvata terveyden osa-alueet ja selittää niiden välisiä syy-seuraussuhteita sekä eritellä, mitä terveyden edistämisellä tarkoitetaan.</w:t>
            </w:r>
          </w:p>
          <w:p w:rsidR="00292929" w:rsidRPr="00292929" w:rsidRDefault="00292929">
            <w:pPr>
              <w:spacing w:after="0"/>
              <w:ind w:left="140"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eritellä elämänkulun eri vaiheet sekä arvioida terveyden merkitystä elämän voimavarana elämänkulun eri vaiheissa.</w:t>
            </w:r>
          </w:p>
          <w:p w:rsidR="00292929" w:rsidRPr="00292929" w:rsidRDefault="00292929">
            <w:pPr>
              <w:spacing w:after="0"/>
              <w:ind w:left="140" w:right="100"/>
              <w:contextualSpacing/>
              <w:rPr>
                <w:rFonts w:cstheme="minorHAnsi"/>
              </w:rPr>
            </w:pPr>
            <w:r w:rsidRPr="00292929">
              <w:rPr>
                <w:rFonts w:cstheme="minorHAnsi"/>
              </w:rPr>
              <w:t xml:space="preserve"> </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proofErr w:type="gramStart"/>
            <w:r w:rsidRPr="00292929">
              <w:rPr>
                <w:rFonts w:cstheme="minorHAnsi"/>
              </w:rPr>
              <w:lastRenderedPageBreak/>
              <w:t>T2 ohjata oppilasta kehittämään valmiuksiaan tunne- ja vuorovaikutustaidoissa ja kykyä toimia erilaisissa ristiriita- ja kriisitilanteissa</w:t>
            </w:r>
            <w:proofErr w:type="gramEnd"/>
            <w:r w:rsidRPr="00292929">
              <w:rPr>
                <w:rFonts w:cstheme="minorHAnsi"/>
              </w:rPr>
              <w:t xml:space="preserve">                 </w:t>
            </w:r>
            <w:r w:rsidRPr="00292929">
              <w:rPr>
                <w:rFonts w:cstheme="minorHAnsi"/>
              </w:rPr>
              <w:tab/>
              <w:t xml:space="preserve">                </w:t>
            </w:r>
            <w:r w:rsidRPr="00292929">
              <w:rPr>
                <w:rFonts w:cstheme="minorHAnsi"/>
              </w:rPr>
              <w:tab/>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oppii hyödyntämään tunne- ja vuorovaikutustaitoja sekä erilaisia keinoja ristiriita- ja kriisitilanteiden käsittelyyn.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Vuorovaikutus- ja tunnetaitojen sekä käyttäytymisen säätelyn analysointi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contextualSpacing/>
              <w:rPr>
                <w:rFonts w:cstheme="minorHAnsi"/>
              </w:rPr>
            </w:pPr>
            <w:r w:rsidRPr="00292929">
              <w:rPr>
                <w:rFonts w:cstheme="minorHAnsi"/>
              </w:rPr>
              <w:t>Oppilas osaa nimetä perustunteita ja tietää, että ne vaikuttavat käyttäytymiseen.</w:t>
            </w:r>
          </w:p>
          <w:p w:rsidR="00292929" w:rsidRPr="00292929" w:rsidRDefault="00292929">
            <w:pPr>
              <w:spacing w:after="0"/>
              <w:contextualSpacing/>
              <w:rPr>
                <w:rFonts w:cstheme="minorHAnsi"/>
              </w:rPr>
            </w:pPr>
          </w:p>
          <w:p w:rsidR="00292929" w:rsidRPr="00292929" w:rsidRDefault="00292929">
            <w:pPr>
              <w:spacing w:before="240" w:after="0"/>
              <w:contextualSpacing/>
              <w:rPr>
                <w:rFonts w:cstheme="minorHAnsi"/>
              </w:rPr>
            </w:pPr>
            <w:r w:rsidRPr="00292929">
              <w:rPr>
                <w:rFonts w:cstheme="minorHAnsi"/>
              </w:rPr>
              <w:t>Oppilas osaa nimetä ristiriitatilanteita sekä stressin ja kriisien piirteitä.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contextualSpacing/>
              <w:rPr>
                <w:rFonts w:cstheme="minorHAnsi"/>
              </w:rPr>
            </w:pPr>
            <w:r w:rsidRPr="00292929">
              <w:rPr>
                <w:rFonts w:cstheme="minorHAnsi"/>
              </w:rPr>
              <w:t>Oppilas osaa nimetä perustunteet sekä antaa joitakin esimerkkejä tunteiden ja käyttäytymisen välisestä vuorovaikutuksesta.</w:t>
            </w:r>
          </w:p>
          <w:p w:rsidR="00292929" w:rsidRPr="00292929" w:rsidRDefault="00292929">
            <w:pPr>
              <w:spacing w:before="240" w:after="0"/>
              <w:contextualSpacing/>
              <w:rPr>
                <w:rFonts w:cstheme="minorHAnsi"/>
              </w:rPr>
            </w:pPr>
          </w:p>
          <w:p w:rsidR="00292929" w:rsidRPr="00292929" w:rsidRDefault="00292929">
            <w:pPr>
              <w:spacing w:before="240" w:after="0"/>
              <w:contextualSpacing/>
              <w:rPr>
                <w:rFonts w:cstheme="minorHAnsi"/>
              </w:rPr>
            </w:pPr>
            <w:r w:rsidRPr="00292929">
              <w:rPr>
                <w:rFonts w:cstheme="minorHAnsi"/>
              </w:rPr>
              <w:t>Oppilas osaa nimetä keinoja ristiriitatilanteiden selvittämiseen ja stressin ja kriisien käsittelyyn.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ind w:right="100"/>
              <w:contextualSpacing/>
              <w:rPr>
                <w:rFonts w:cstheme="minorHAnsi"/>
              </w:rPr>
            </w:pPr>
            <w:r w:rsidRPr="00292929">
              <w:rPr>
                <w:rFonts w:cstheme="minorHAnsi"/>
              </w:rPr>
              <w:t>Oppilas osaa kuvata perustunteiden lisäksi muita tunteita sekä antaa esimerkkejä tunteiden ja käyttäytymisen välisestä vuorovaikutuksesta ja käyttäytymisen säätelystä.</w:t>
            </w:r>
          </w:p>
          <w:p w:rsidR="00292929" w:rsidRPr="00292929" w:rsidRDefault="00292929">
            <w:pPr>
              <w:spacing w:after="0"/>
              <w:ind w:left="60" w:right="100"/>
              <w:contextualSpacing/>
              <w:rPr>
                <w:rFonts w:cstheme="minorHAnsi"/>
              </w:rPr>
            </w:pPr>
          </w:p>
          <w:p w:rsidR="00292929" w:rsidRPr="00292929" w:rsidRDefault="00292929">
            <w:pPr>
              <w:spacing w:before="240" w:after="0"/>
              <w:ind w:right="100"/>
              <w:contextualSpacing/>
              <w:rPr>
                <w:rFonts w:cstheme="minorHAnsi"/>
              </w:rPr>
            </w:pPr>
            <w:r w:rsidRPr="00292929">
              <w:rPr>
                <w:rFonts w:cstheme="minorHAnsi"/>
              </w:rPr>
              <w:t xml:space="preserve">Oppilas osaa kuvata keinoja ja ratkaisuja ristiriitatilanteiden selvittämiseen sekä stressin ja kriisien </w:t>
            </w:r>
            <w:r w:rsidRPr="00292929">
              <w:rPr>
                <w:rFonts w:cstheme="minorHAnsi"/>
              </w:rPr>
              <w:lastRenderedPageBreak/>
              <w:t>käsittelyyn.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lastRenderedPageBreak/>
              <w:t>Oppilas osaa luokitella erilaisia tunteita, analysoida niiden taustatekijöitä sekä esitellä keinoja käyttäytymisen ja vuorovaikutuksen säätelyyn.</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luokitella ristiriitatilanteiden syitä ja esitellä perusteltuja keinoja ja ratkaisuja ristiriitatilanteid</w:t>
            </w:r>
            <w:r w:rsidRPr="00292929">
              <w:rPr>
                <w:rFonts w:cstheme="minorHAnsi"/>
              </w:rPr>
              <w:lastRenderedPageBreak/>
              <w:t>en selvittämiseen sekä stressin ja kriisien käsittelyyn.</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proofErr w:type="gramStart"/>
            <w:r w:rsidRPr="00292929">
              <w:rPr>
                <w:rFonts w:cstheme="minorHAnsi"/>
              </w:rPr>
              <w:lastRenderedPageBreak/>
              <w:t>T3 ohjata oppilasta kehittämään itsetuntemustaan, omien arvojen ja asenteiden sekä kehon ja mielen viestien tunnistamista ja säätelemään käyttäytymistään, oppimistaan ja opiskeluaan tukevia tekijöitä</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oppii kehittämään itsetuntemustaan ja säätelemään käyttäytymistään ja oppimistaan.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i/>
                <w:iCs/>
              </w:rPr>
              <w:t xml:space="preserve">Ei käytetä arvosanan muodostamisen perusteena. Oppilasta ohjataan pohtimaan kokemuksiaan osana </w:t>
            </w:r>
            <w:proofErr w:type="spellStart"/>
            <w:r w:rsidRPr="00292929">
              <w:rPr>
                <w:rFonts w:cstheme="minorHAnsi"/>
                <w:i/>
                <w:iCs/>
              </w:rPr>
              <w:t>itsearviointia</w:t>
            </w:r>
            <w:proofErr w:type="spellEnd"/>
            <w:r w:rsidRPr="00292929">
              <w:rPr>
                <w:rFonts w:cstheme="minorHAnsi"/>
                <w:i/>
                <w:iCs/>
              </w:rPr>
              <w: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left="4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ind w:left="140" w:right="100"/>
              <w:contextualSpacing/>
              <w:rPr>
                <w:rFonts w:cstheme="minorHAnsi"/>
                <w:i/>
                <w:iCs/>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left="40"/>
              <w:contextualSpacing/>
              <w:rPr>
                <w:rFonts w:cstheme="minorHAnsi"/>
              </w:rPr>
            </w:pPr>
            <w:r w:rsidRPr="00292929">
              <w:rPr>
                <w:rFonts w:cstheme="minorHAnsi"/>
              </w:rPr>
              <w:t xml:space="preserve"> </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proofErr w:type="gramStart"/>
            <w:r w:rsidRPr="00292929">
              <w:rPr>
                <w:rFonts w:cstheme="minorHAnsi"/>
              </w:rPr>
              <w:t xml:space="preserve">T4 ohjata oppilasta pohtimaan yksilöllisyyteen, yhteisöllisyyteen ja yhdenvertaisuuteen liittyviä kysymyksiä terveyden näkökulmasta sekä tukea oppilaan valmiuksia luoda </w:t>
            </w:r>
            <w:r w:rsidRPr="00292929">
              <w:rPr>
                <w:rFonts w:cstheme="minorHAnsi"/>
              </w:rPr>
              <w:lastRenderedPageBreak/>
              <w:t>vastuullisia ratkaisuja ihmisten välisissä vuorovaikutustilanteissa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 xml:space="preserve">S1, S3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 xml:space="preserve">Oppilas oppii pohtimaan yksilöllisyyteen, yhteisöllisyyteen ja yhdenvertaisuuteen liittyviä kysymyksiä terveyden näkökulmasta sekä oppii luomaan vastuullisia </w:t>
            </w:r>
            <w:r w:rsidRPr="00292929">
              <w:rPr>
                <w:rFonts w:cstheme="minorHAnsi"/>
              </w:rPr>
              <w:lastRenderedPageBreak/>
              <w:t>ratkaisuja ihmisten välisissä vuorovaikutustilanteissa toimimiseen.</w:t>
            </w:r>
          </w:p>
          <w:p w:rsidR="00292929" w:rsidRPr="00292929" w:rsidRDefault="00292929">
            <w:pPr>
              <w:spacing w:before="240"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lastRenderedPageBreak/>
              <w:t>Terveydellisen kehityksen analysointi ja toiminta vuorovaikutustilanteissa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 xml:space="preserve">Oppilas osaa nimetä yksilöllisyyteen vaikuttavia tekijöitä sekä antaa yksittäisen esimerkin sosiaalisten suhteiden yhteydestä </w:t>
            </w:r>
            <w:r w:rsidRPr="00292929">
              <w:rPr>
                <w:rFonts w:cstheme="minorHAnsi"/>
              </w:rPr>
              <w:lastRenderedPageBreak/>
              <w:t>mielen hyvinvointiin ja terveyteen.</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nimetä yhdessä toimimiseen ja vuorovaikutukseen liittyviä eettisiä kysymyksiä ja esittää niihin ohjatusti ratkaisuja.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lastRenderedPageBreak/>
              <w:t xml:space="preserve">Oppilas osaa kuvata yksilöllisyyteen vaikuttavia tekijöitä sekä antaa esimerkkejä sosiaalisten suhteiden merkityksestä mielen </w:t>
            </w:r>
            <w:r w:rsidRPr="00292929">
              <w:rPr>
                <w:rFonts w:cstheme="minorHAnsi"/>
              </w:rPr>
              <w:lastRenderedPageBreak/>
              <w:t>hyvinvoinnille ja terveydelle.</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kuvata yhdessä toimimiseen ja vuorovaikutukseen liittyviä eettisiä kysymyksiä ja esittää niihin ratkaisuja.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 xml:space="preserve">Oppilas osaa analysoida esimerkkien avulla yksilölliseen kehitykseen liittyviä kysymyksiä terveyden näkökulmasta ja analysoida </w:t>
            </w:r>
            <w:r w:rsidRPr="00292929">
              <w:rPr>
                <w:rFonts w:cstheme="minorHAnsi"/>
              </w:rPr>
              <w:lastRenderedPageBreak/>
              <w:t>sosiaalisten suhteiden merkitystä mielen hyvinvoinnille ja terveydelle.</w:t>
            </w:r>
          </w:p>
          <w:p w:rsidR="00292929" w:rsidRPr="00292929" w:rsidRDefault="00292929">
            <w:pPr>
              <w:spacing w:after="0"/>
              <w:ind w:left="140"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analysoida yhdessä toimimiseen ja vuorovaikutukseen liittyviä eettisiä kysymyksiä ja esittää niihin vastuullisia ratkaisuja.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lastRenderedPageBreak/>
              <w:t xml:space="preserve">Oppilas osaa analysoida perustellen yksilölliseen kehitykseen liittyviä kysymyksiä terveyden näkökulmasta ja arvioida sosiaalisten </w:t>
            </w:r>
            <w:r w:rsidRPr="00292929">
              <w:rPr>
                <w:rFonts w:cstheme="minorHAnsi"/>
              </w:rPr>
              <w:lastRenderedPageBreak/>
              <w:t>suhteiden merkitystä mielen hyvinvoinnille ja terveydelle.</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arvioida yhdessä toimimiseen ja vuorovaikutukseen liittyviä eettisiä kysymyksiä sekä arvioida ja perustella niihin liittyviä ratkaisuja.</w:t>
            </w:r>
          </w:p>
        </w:tc>
      </w:tr>
      <w:tr w:rsidR="00292929" w:rsidRPr="00292929" w:rsidTr="00292929">
        <w:trPr>
          <w:trHeight w:val="284"/>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b/>
              </w:rPr>
              <w:lastRenderedPageBreak/>
              <w:t>Terveyttä tukevat ja kuluttavat tekijät ja sairauksien ehkäisy</w:t>
            </w:r>
            <w:r w:rsidRPr="00292929">
              <w:rPr>
                <w:rFonts w:cstheme="minorHAnsi"/>
              </w:rPr>
              <w:t xml:space="preserve"> </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 xml:space="preserve">T5 ohjata oppilasta syventämään ymmärrystään fyysisestä, psyykkisestä ja sosiaalisesta terveydestä sekä niitä vahvistavista ja vaarantavista tekijöistä ja </w:t>
            </w:r>
            <w:r w:rsidRPr="00292929">
              <w:rPr>
                <w:rFonts w:cstheme="minorHAnsi"/>
              </w:rPr>
              <w:lastRenderedPageBreak/>
              <w:t>mekanismeista sekä tukea oppilaan valmiuksia käyttää näihin liittyviä käsitteitä asianmukaisesti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S1–S3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 xml:space="preserve">Oppilas oppii tarkastelemaan fyysistä, psyykkistä ja sosiaalista terveyttä vahvistavia ja vaarantavia tekijöitä ja mekanismeja sekä oppii käyttämään </w:t>
            </w:r>
            <w:r w:rsidRPr="00292929">
              <w:rPr>
                <w:rFonts w:cstheme="minorHAnsi"/>
              </w:rPr>
              <w:lastRenderedPageBreak/>
              <w:t>niihin liittyviä käsitteitä asianmukaisesti.</w:t>
            </w:r>
          </w:p>
          <w:p w:rsidR="00292929" w:rsidRPr="00292929" w:rsidRDefault="00292929">
            <w:pPr>
              <w:spacing w:before="240"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Terveyteen vaikuttavien tekijöiden tunnistaminen ja terveyteen liittyvien käsitteiden käyttäminen</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contextualSpacing/>
              <w:rPr>
                <w:rFonts w:cstheme="minorHAnsi"/>
              </w:rPr>
            </w:pPr>
            <w:r w:rsidRPr="00292929">
              <w:rPr>
                <w:rFonts w:cstheme="minorHAnsi"/>
              </w:rPr>
              <w:t>Oppilas osaa nimetä terveyttä tukevia ja vaarantavia tekijöitä.</w:t>
            </w:r>
          </w:p>
          <w:p w:rsidR="00292929" w:rsidRPr="00292929" w:rsidRDefault="00292929">
            <w:pPr>
              <w:spacing w:before="240" w:after="0"/>
              <w:contextualSpacing/>
              <w:rPr>
                <w:rFonts w:cstheme="minorHAnsi"/>
              </w:rPr>
            </w:pPr>
          </w:p>
          <w:p w:rsidR="00292929" w:rsidRPr="00292929" w:rsidRDefault="00292929">
            <w:pPr>
              <w:spacing w:before="240" w:after="0"/>
              <w:contextualSpacing/>
              <w:rPr>
                <w:rFonts w:cstheme="minorHAnsi"/>
              </w:rPr>
            </w:pPr>
            <w:r w:rsidRPr="00292929">
              <w:rPr>
                <w:rFonts w:cstheme="minorHAnsi"/>
              </w:rPr>
              <w:t xml:space="preserve">Oppilas osaa käyttää ohjatusti </w:t>
            </w:r>
            <w:r w:rsidRPr="00292929">
              <w:rPr>
                <w:rFonts w:cstheme="minorHAnsi"/>
              </w:rPr>
              <w:lastRenderedPageBreak/>
              <w:t>joitakin terveyteen ja sairauteen liittyviä käsitteitä.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contextualSpacing/>
              <w:rPr>
                <w:rFonts w:cstheme="minorHAnsi"/>
              </w:rPr>
            </w:pPr>
            <w:r w:rsidRPr="00292929">
              <w:rPr>
                <w:rFonts w:cstheme="minorHAnsi"/>
              </w:rPr>
              <w:lastRenderedPageBreak/>
              <w:t>Oppilas osaa kuvata terveyttä tukevia ja vaarantavia tekijöitä sekä näiden välisiä yhteyksiä pääpiirteissään.</w:t>
            </w:r>
          </w:p>
          <w:p w:rsidR="00292929" w:rsidRPr="00292929" w:rsidRDefault="00292929">
            <w:pPr>
              <w:spacing w:after="0"/>
              <w:contextualSpacing/>
              <w:rPr>
                <w:rFonts w:cstheme="minorHAnsi"/>
              </w:rPr>
            </w:pPr>
          </w:p>
          <w:p w:rsidR="00292929" w:rsidRPr="00292929" w:rsidRDefault="00292929">
            <w:pPr>
              <w:spacing w:after="0"/>
              <w:contextualSpacing/>
              <w:rPr>
                <w:rFonts w:cstheme="minorHAnsi"/>
              </w:rPr>
            </w:pPr>
            <w:r w:rsidRPr="00292929">
              <w:rPr>
                <w:rFonts w:cstheme="minorHAnsi"/>
              </w:rPr>
              <w:t xml:space="preserve">Oppilas osaa </w:t>
            </w:r>
            <w:r w:rsidRPr="00292929">
              <w:rPr>
                <w:rFonts w:cstheme="minorHAnsi"/>
              </w:rPr>
              <w:lastRenderedPageBreak/>
              <w:t>käyttää joitakin terveyteen ja sairauteen liittyviä käsitteitä asianmukaisesti.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ind w:right="100"/>
              <w:contextualSpacing/>
              <w:rPr>
                <w:rFonts w:cstheme="minorHAnsi"/>
              </w:rPr>
            </w:pPr>
            <w:r w:rsidRPr="00292929">
              <w:rPr>
                <w:rFonts w:cstheme="minorHAnsi"/>
              </w:rPr>
              <w:lastRenderedPageBreak/>
              <w:t>Oppilas osaa analysoida terveyttä tukevia ja vaarantavia tekijöitä sekä kuvata näiden välisiä yhteyksiä.</w:t>
            </w:r>
          </w:p>
          <w:p w:rsidR="00292929" w:rsidRPr="00292929" w:rsidRDefault="00292929">
            <w:pPr>
              <w:spacing w:after="0"/>
              <w:ind w:right="100"/>
              <w:contextualSpacing/>
              <w:rPr>
                <w:rFonts w:cstheme="minorHAnsi"/>
              </w:rPr>
            </w:pPr>
          </w:p>
          <w:p w:rsidR="00292929" w:rsidRPr="00292929" w:rsidRDefault="00292929">
            <w:pPr>
              <w:spacing w:after="0"/>
              <w:ind w:right="100"/>
              <w:contextualSpacing/>
              <w:rPr>
                <w:rFonts w:cstheme="minorHAnsi"/>
              </w:rPr>
            </w:pPr>
            <w:r w:rsidRPr="00292929">
              <w:rPr>
                <w:rFonts w:cstheme="minorHAnsi"/>
              </w:rPr>
              <w:lastRenderedPageBreak/>
              <w:t>Oppilas osaa käyttää terveyteen ja sairauteen liittyviä käsitteitä pääosin asianmukaisesti.</w:t>
            </w:r>
          </w:p>
          <w:p w:rsidR="00292929" w:rsidRPr="00292929" w:rsidRDefault="00292929">
            <w:pPr>
              <w:spacing w:after="0"/>
              <w:ind w:right="10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contextualSpacing/>
              <w:rPr>
                <w:rFonts w:cstheme="minorHAnsi"/>
              </w:rPr>
            </w:pPr>
            <w:r w:rsidRPr="00292929">
              <w:rPr>
                <w:rFonts w:cstheme="minorHAnsi"/>
              </w:rPr>
              <w:lastRenderedPageBreak/>
              <w:t xml:space="preserve">Oppilas osaa analysoida ja arvioida terveyttä tukevia ja vaarantavia tekijöitä sekä selittää näiden välisiä syy-seuraussuhteita. </w:t>
            </w:r>
          </w:p>
          <w:p w:rsidR="00292929" w:rsidRPr="00292929" w:rsidRDefault="00292929">
            <w:pPr>
              <w:spacing w:after="0"/>
              <w:contextualSpacing/>
              <w:rPr>
                <w:rFonts w:cstheme="minorHAnsi"/>
              </w:rPr>
            </w:pPr>
          </w:p>
          <w:p w:rsidR="00292929" w:rsidRPr="00292929" w:rsidRDefault="00292929">
            <w:pPr>
              <w:spacing w:after="0"/>
              <w:contextualSpacing/>
              <w:rPr>
                <w:rFonts w:cstheme="minorHAnsi"/>
              </w:rPr>
            </w:pPr>
            <w:r w:rsidRPr="00292929">
              <w:rPr>
                <w:rFonts w:cstheme="minorHAnsi"/>
              </w:rPr>
              <w:t>Oppilas osaa käyttää terveyteen ja sairauteen liittyviä käsitteitä asianmukaisesti.</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T6 tukea oppilaan kehittymistä terveyteen ja sairauteen liittyvän tiedon hankkijana ja käyttäjänä sekä edistää valmiuksia toimia tarkoituksenmukaisesti terveyteen, turvallisuuteen ja sairauksiin liittyvissä 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S2–S3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Oppilas oppii hakemaan ja käyttämään terveyteen ja sairauteen liittyvää tietoa sekä oppii toimimaan tarkoituksenmukaisesti terveyteen, turvallisuuteen ja sairauksiin liittyvissä tilanteissa.</w:t>
            </w:r>
          </w:p>
          <w:p w:rsidR="00292929" w:rsidRPr="00292929" w:rsidRDefault="00292929">
            <w:pPr>
              <w:spacing w:before="240" w:after="0"/>
              <w:ind w:left="4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Terveyteen, turvallisuuteen ja sairauteen liittyvien tietojen ja taitojen hallinta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hakea terveyteen liittyvää tietoa ohjatusti.</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nimetä jonkin toimintatavan liittyen itsehoitoon, avun hakemiseen sekä terveyttä ja turvallisuutta vaarantaviin tilanteisiin.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hakea terveyteen liittyvää tietoa muutamista lähteistä sekä käyttää tietoa paikoitellen asianmukaisesti.</w:t>
            </w:r>
          </w:p>
          <w:p w:rsidR="00292929" w:rsidRPr="00292929" w:rsidRDefault="00292929">
            <w:pPr>
              <w:spacing w:after="0"/>
              <w:ind w:left="100"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Oppilas osaa nimetä toimintatapoja itsehoitoon, avun hakemiseen ja terveyttä ja turvallisuutta vaarantaviin tilanteisiin </w:t>
            </w:r>
            <w:r w:rsidRPr="00292929">
              <w:rPr>
                <w:rFonts w:cstheme="minorHAnsi"/>
              </w:rPr>
              <w:lastRenderedPageBreak/>
              <w:t>liittyen.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Oppilas osaa hakea terveyteen liittyvää tietoa erilaisista lähteistä ja käyttää sitä pääosin asianmukaisesti.</w:t>
            </w:r>
          </w:p>
          <w:p w:rsidR="00292929" w:rsidRPr="00292929" w:rsidRDefault="00292929">
            <w:pPr>
              <w:spacing w:after="0"/>
              <w:ind w:left="140"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Oppilas osaa kuvata asianmukaisia toimintatapoja itsehoidossa, avun hakemisessa ja terveyttä ja turvallisuutta vaarantavissa </w:t>
            </w:r>
            <w:r w:rsidRPr="00292929">
              <w:rPr>
                <w:rFonts w:cstheme="minorHAnsi"/>
              </w:rPr>
              <w:lastRenderedPageBreak/>
              <w:t>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lastRenderedPageBreak/>
              <w:t>Oppilas osaa hakea terveyteen liittyvää tietoa monipuolisesti eri tietolähteistä, muodostaa hakusanoja ja rajata tiedonhakua sekä käyttää tietoa asianmukaisesti.</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 xml:space="preserve">Oppilas osaa arvioida erilaisia toimintatapoja itsehoidossa, avun </w:t>
            </w:r>
            <w:r w:rsidRPr="00292929">
              <w:rPr>
                <w:rFonts w:cstheme="minorHAnsi"/>
              </w:rPr>
              <w:lastRenderedPageBreak/>
              <w:t>hakemisessa ja terveyttä ja turvallisuutta vaarantavissa tilanteissa.</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T7 ohjata oppilasta tunnistamaan ja arvioimaan omia terveyteen ja turvallisuuteen liittyviä tottumuksiaan, valintojaan ja niiden perusteluja sekä rohkaista oppilasta pohtimaan oman terveyden kannalta merkityksellisiä voimavaroja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S1–S2</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oppii tunnistamaan ja arvioimaan omia terveyteen ja turvallisuuteen liittyviä tekijöitä sekä oppii pohtimaan oman terveyden kannalta merkityksellisiä voimavaroja.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ind w:right="100"/>
              <w:contextualSpacing/>
              <w:rPr>
                <w:rFonts w:cstheme="minorHAnsi"/>
                <w:i/>
                <w:iCs/>
              </w:rPr>
            </w:pPr>
            <w:r w:rsidRPr="00292929">
              <w:rPr>
                <w:rFonts w:cstheme="minorHAnsi"/>
                <w:i/>
                <w:iCs/>
              </w:rPr>
              <w:t xml:space="preserve">Ei käytetä arvosanan muodostamisen perusteena. Oppilasta ohjataan pohtimaan kokemuksiaan osana </w:t>
            </w:r>
            <w:proofErr w:type="spellStart"/>
            <w:r w:rsidRPr="00292929">
              <w:rPr>
                <w:rFonts w:cstheme="minorHAnsi"/>
                <w:i/>
                <w:iCs/>
              </w:rPr>
              <w:t>itsearviointia</w:t>
            </w:r>
            <w:proofErr w:type="spellEnd"/>
            <w:r w:rsidRPr="00292929">
              <w:rPr>
                <w:rFonts w:cstheme="minorHAnsi"/>
                <w:i/>
                <w:iCs/>
              </w:rPr>
              <w:t>.</w:t>
            </w:r>
          </w:p>
          <w:p w:rsidR="00292929" w:rsidRPr="00292929" w:rsidRDefault="00292929">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left="4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left="140" w:right="10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left="40"/>
              <w:contextualSpacing/>
              <w:rPr>
                <w:rFonts w:cstheme="minorHAnsi"/>
              </w:rPr>
            </w:pPr>
            <w:r w:rsidRPr="00292929">
              <w:rPr>
                <w:rFonts w:cstheme="minorHAnsi"/>
              </w:rPr>
              <w:t xml:space="preserve"> </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proofErr w:type="gramStart"/>
            <w:r w:rsidRPr="00292929">
              <w:rPr>
                <w:rFonts w:cstheme="minorHAnsi"/>
              </w:rPr>
              <w:t xml:space="preserve">T8 ohjata oppilasta tunnistamaan ja tarkastelemaan kriittisesti terveyteen ja sairauteen liittyviä ilmiöitä, niihin liittyviä arvoja ja normeja sekä </w:t>
            </w:r>
            <w:r w:rsidRPr="00292929">
              <w:rPr>
                <w:rFonts w:cstheme="minorHAnsi"/>
              </w:rPr>
              <w:lastRenderedPageBreak/>
              <w:t>arvioimaan tiedon luotettavuutta ja merkitystä</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S1–S3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 xml:space="preserve">Oppilas oppii tunnistamaan ja tarkastelemaan kriittisesti terveyteen ja sairauteen liittyviä ilmiöitä sekä niihin liittyviä arvoja ja normeja sekä oppii </w:t>
            </w:r>
            <w:r w:rsidRPr="00292929">
              <w:rPr>
                <w:rFonts w:cstheme="minorHAnsi"/>
              </w:rPr>
              <w:lastRenderedPageBreak/>
              <w:t>arvioimaan tiedon luotettavuutta ja merkitystä.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lastRenderedPageBreak/>
              <w:t>Terveyteen ja sairauteen liittyvien ilmiöiden tarkastelu ja terveyteen liittyvän tiedon luotettavuuden arvioiminen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 xml:space="preserve">Oppilas osaa nimetä terveystottumusten omaksumiseen vaikuttavia tekijöitä sekä elämäntapoihin liittyviä eettisiä </w:t>
            </w:r>
            <w:r w:rsidRPr="00292929">
              <w:rPr>
                <w:rFonts w:cstheme="minorHAnsi"/>
              </w:rPr>
              <w:lastRenderedPageBreak/>
              <w:t>kysymyksiä ja antaa esimerkin elämäntapoihin liittyvien valintojen seurauksista.</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nimetä jonkin terveyteen liittyvän tiedon luotettavuutta kuvaavan tekijän.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lastRenderedPageBreak/>
              <w:t xml:space="preserve">Oppilas osaa kuvata terveystottumusten omaksumiseen vaikuttavia tekijöitä sekä elämäntapoihin liittyviä eettisiä </w:t>
            </w:r>
            <w:r w:rsidRPr="00292929">
              <w:rPr>
                <w:rFonts w:cstheme="minorHAnsi"/>
              </w:rPr>
              <w:lastRenderedPageBreak/>
              <w:t>kysymyksiä ja antaa esimerkkejä elämäntapoihin liittyvien valintojen seurauksista.</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arvioida ohjatusti terveyteen liittyvän tiedon luotettavuutta muutamien tiedon luotettavuutta kuvaavien tekijöiden pohjalta.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ind w:right="100"/>
              <w:contextualSpacing/>
              <w:rPr>
                <w:rFonts w:cstheme="minorHAnsi"/>
              </w:rPr>
            </w:pPr>
            <w:r w:rsidRPr="00292929">
              <w:rPr>
                <w:rFonts w:cstheme="minorHAnsi"/>
              </w:rPr>
              <w:lastRenderedPageBreak/>
              <w:t>Oppilas osaa analysoida terveystottumusten omaksumiseen vaikuttavia tekijöitä ja selittää terveystottumu</w:t>
            </w:r>
            <w:r w:rsidRPr="00292929">
              <w:rPr>
                <w:rFonts w:cstheme="minorHAnsi"/>
              </w:rPr>
              <w:lastRenderedPageBreak/>
              <w:t>ksiin liittyvien ilmiöiden muodostumista.</w:t>
            </w:r>
          </w:p>
          <w:p w:rsidR="00292929" w:rsidRPr="00292929" w:rsidRDefault="00292929">
            <w:pPr>
              <w:spacing w:after="0"/>
              <w:ind w:left="140" w:right="100"/>
              <w:contextualSpacing/>
              <w:rPr>
                <w:rFonts w:cstheme="minorHAnsi"/>
              </w:rPr>
            </w:pPr>
          </w:p>
          <w:p w:rsidR="00292929" w:rsidRPr="00292929" w:rsidRDefault="00292929">
            <w:pPr>
              <w:spacing w:after="0"/>
              <w:ind w:right="100"/>
              <w:contextualSpacing/>
              <w:rPr>
                <w:rFonts w:cstheme="minorHAnsi"/>
              </w:rPr>
            </w:pPr>
            <w:r w:rsidRPr="00292929">
              <w:rPr>
                <w:rFonts w:cstheme="minorHAnsi"/>
              </w:rPr>
              <w:t>Oppilas osaa kuvata elämäntapoihin liittyviä eettisiä kysymyksiä ja analysoida elämäntapoihin liittyvien valintojen seurauksia.</w:t>
            </w:r>
          </w:p>
          <w:p w:rsidR="00292929" w:rsidRPr="00292929" w:rsidRDefault="00292929">
            <w:pPr>
              <w:spacing w:after="0"/>
              <w:ind w:left="140"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arvioida terveyteen liittyvän tiedon luotettavuutta usean tiedon luotettavuutta kuvaavan tekijän pohjalta.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92929" w:rsidRPr="00292929" w:rsidRDefault="00292929">
            <w:pPr>
              <w:spacing w:after="0"/>
              <w:contextualSpacing/>
              <w:rPr>
                <w:rFonts w:cstheme="minorHAnsi"/>
              </w:rPr>
            </w:pPr>
            <w:r w:rsidRPr="00292929">
              <w:rPr>
                <w:rFonts w:cstheme="minorHAnsi"/>
              </w:rPr>
              <w:lastRenderedPageBreak/>
              <w:t xml:space="preserve">Oppilas osaa arvioida terveystottumusten omaksumiseen vaikuttavia tekijöitä ja selittää perustellen </w:t>
            </w:r>
            <w:r w:rsidRPr="00292929">
              <w:rPr>
                <w:rFonts w:cstheme="minorHAnsi"/>
              </w:rPr>
              <w:lastRenderedPageBreak/>
              <w:t xml:space="preserve">terveystottumuksiin liittyvien ilmiöiden muodostumista. </w:t>
            </w:r>
          </w:p>
          <w:p w:rsidR="00292929" w:rsidRPr="00292929" w:rsidRDefault="00292929">
            <w:pPr>
              <w:spacing w:after="0"/>
              <w:contextualSpacing/>
              <w:rPr>
                <w:rFonts w:cstheme="minorHAnsi"/>
              </w:rPr>
            </w:pPr>
          </w:p>
          <w:p w:rsidR="00292929" w:rsidRPr="00292929" w:rsidRDefault="00292929">
            <w:pPr>
              <w:spacing w:after="0"/>
              <w:contextualSpacing/>
              <w:rPr>
                <w:rFonts w:cstheme="minorHAnsi"/>
              </w:rPr>
            </w:pPr>
            <w:r w:rsidRPr="00292929">
              <w:rPr>
                <w:rFonts w:cstheme="minorHAnsi"/>
              </w:rPr>
              <w:t>Oppilas osaa analysoida elämäntapoihin liittyviä eettisiä kysymyksiä sekä arvioida perustellen elämäntapoihin liittyvien valintojen seurauksia.</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arvioida terveyteen liittyvän tiedon luotettavuutta ja käytettävyyttä eri näkökulmista.</w:t>
            </w:r>
          </w:p>
        </w:tc>
      </w:tr>
      <w:tr w:rsidR="00292929" w:rsidRPr="00292929" w:rsidTr="00292929">
        <w:trPr>
          <w:trHeight w:val="284"/>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b/>
              </w:rPr>
            </w:pPr>
            <w:r w:rsidRPr="00292929">
              <w:rPr>
                <w:rFonts w:cstheme="minorHAnsi"/>
                <w:b/>
              </w:rPr>
              <w:lastRenderedPageBreak/>
              <w:t>Terveys, yhteisöt, yhteiskunta ja kulttuuri</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proofErr w:type="gramStart"/>
            <w:r w:rsidRPr="00292929">
              <w:rPr>
                <w:rFonts w:cstheme="minorHAnsi"/>
              </w:rPr>
              <w:t xml:space="preserve">T9 ohjata oppilasta ymmärtämään </w:t>
            </w:r>
            <w:r w:rsidRPr="00292929">
              <w:rPr>
                <w:rFonts w:cstheme="minorHAnsi"/>
              </w:rPr>
              <w:lastRenderedPageBreak/>
              <w:t>ympäristön, yhteisöjen, kulttuurin, ja tieto- ja viestintäteknologian merkitystä terveydelle ja hyvinvoinnille</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 xml:space="preserve">Oppilas oppii tarkastelemaan </w:t>
            </w:r>
            <w:r w:rsidRPr="00292929">
              <w:rPr>
                <w:rFonts w:cstheme="minorHAnsi"/>
              </w:rPr>
              <w:lastRenderedPageBreak/>
              <w:t>ympäristön, yhteisöjen, kulttuurin, ja tieto- ja viestintäteknologian merkitystä terveydelle ja hyvinvoinnille.</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 xml:space="preserve">Ympäristön terveysvaikutusten </w:t>
            </w:r>
            <w:r w:rsidRPr="00292929">
              <w:rPr>
                <w:rFonts w:cstheme="minorHAnsi"/>
              </w:rPr>
              <w:lastRenderedPageBreak/>
              <w:t>hahmottaminen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 xml:space="preserve">Oppilas osaa nimetä </w:t>
            </w:r>
            <w:r w:rsidRPr="00292929">
              <w:rPr>
                <w:rFonts w:cstheme="minorHAnsi"/>
              </w:rPr>
              <w:lastRenderedPageBreak/>
              <w:t xml:space="preserve">elinympäristön aiheuttamia vaikutuksia terveyteen sekä yhteisöjen, kulttuurin tai </w:t>
            </w:r>
            <w:proofErr w:type="spellStart"/>
            <w:r w:rsidRPr="00292929">
              <w:rPr>
                <w:rFonts w:cstheme="minorHAnsi"/>
              </w:rPr>
              <w:t>tvt:n</w:t>
            </w:r>
            <w:proofErr w:type="spellEnd"/>
            <w:r w:rsidRPr="00292929">
              <w:rPr>
                <w:rFonts w:cstheme="minorHAnsi"/>
              </w:rPr>
              <w:t xml:space="preserve"> yhteyksiä terveyteen.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 xml:space="preserve">Oppilas osaa kuvata </w:t>
            </w:r>
            <w:r w:rsidRPr="00292929">
              <w:rPr>
                <w:rFonts w:cstheme="minorHAnsi"/>
              </w:rPr>
              <w:lastRenderedPageBreak/>
              <w:t xml:space="preserve">elinympäristön aiheuttamia vaikutuksia terveyteen sekä antaa esimerkkejä yhteisöjen, kulttuurin tai </w:t>
            </w:r>
            <w:proofErr w:type="spellStart"/>
            <w:r w:rsidRPr="00292929">
              <w:rPr>
                <w:rFonts w:cstheme="minorHAnsi"/>
              </w:rPr>
              <w:t>tvt:n</w:t>
            </w:r>
            <w:proofErr w:type="spellEnd"/>
            <w:r w:rsidRPr="00292929">
              <w:rPr>
                <w:rFonts w:cstheme="minorHAnsi"/>
              </w:rPr>
              <w:t xml:space="preserve"> yhteyksistä terveyteen.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 xml:space="preserve">Oppilas osaa analysoida </w:t>
            </w:r>
            <w:r w:rsidRPr="00292929">
              <w:rPr>
                <w:rFonts w:cstheme="minorHAnsi"/>
              </w:rPr>
              <w:lastRenderedPageBreak/>
              <w:t xml:space="preserve">elinympäristön aiheuttamia keskeisiä suoria ja epäsuoria vaikutuksia terveyteen sekä selittää yhteisöjen, kulttuurin ja </w:t>
            </w:r>
            <w:proofErr w:type="spellStart"/>
            <w:r w:rsidRPr="00292929">
              <w:rPr>
                <w:rFonts w:cstheme="minorHAnsi"/>
              </w:rPr>
              <w:t>tvt:n</w:t>
            </w:r>
            <w:proofErr w:type="spellEnd"/>
            <w:r w:rsidRPr="00292929">
              <w:rPr>
                <w:rFonts w:cstheme="minorHAnsi"/>
              </w:rPr>
              <w:t xml:space="preserve"> yhteyksiä terveyteen.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lastRenderedPageBreak/>
              <w:t xml:space="preserve">Oppilas osaa arvioida </w:t>
            </w:r>
            <w:r w:rsidRPr="00292929">
              <w:rPr>
                <w:rFonts w:cstheme="minorHAnsi"/>
              </w:rPr>
              <w:lastRenderedPageBreak/>
              <w:t xml:space="preserve">elinympäristön aiheuttamia keskeisiä suoria ja epäsuoria vaikutuksia terveyteen sekä arvioida yhteisöjen, kulttuurin ja </w:t>
            </w:r>
            <w:proofErr w:type="spellStart"/>
            <w:r w:rsidRPr="00292929">
              <w:rPr>
                <w:rFonts w:cstheme="minorHAnsi"/>
              </w:rPr>
              <w:t>tvt:n</w:t>
            </w:r>
            <w:proofErr w:type="spellEnd"/>
            <w:r w:rsidRPr="00292929">
              <w:rPr>
                <w:rFonts w:cstheme="minorHAnsi"/>
              </w:rPr>
              <w:t xml:space="preserve"> yhteyksiä terveyteen.</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T10 ohjata oppilasta luomaan perustaa opiskelu-, toiminta- ja työkyvylle ja sen ylläpitämiselle sekä kuvaamaan terveyspalvelujen asianmukaista käyttöä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S1–S2</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Oppilas oppii luomaan perustaa opiskelu-, toiminta- ja työkyvylle ja sen ylläpitämiselle sekä oppii kuvaamaan terveyspalvelujen asianmukaista käyttöä.</w:t>
            </w:r>
          </w:p>
          <w:p w:rsidR="00292929" w:rsidRPr="00292929" w:rsidRDefault="00292929">
            <w:pPr>
              <w:spacing w:before="240"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Työkyvyn edistämisen keinojen hahmottaminen</w:t>
            </w:r>
          </w:p>
          <w:p w:rsidR="00292929" w:rsidRPr="00292929" w:rsidRDefault="00292929">
            <w:pPr>
              <w:spacing w:before="240"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nimetä tekijöitä, jotka vaikuttavat opiskelu-, toiminta- ja työkykyyn.</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nimetä oman koulun ja kunnan terveyspalveluja.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kuvata tekijöitä, jotka vaikuttavat opiskelu-, toiminta- ja työkykyyn.</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kuvata oman koulun ja kunnan terveyspalveluja.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Oppilas osaa soveltaa tietoa tekijöistä, jotka vaikuttavat opiskelu-, toiminta- ja työkykyyn, esimerkiksi laatimalla niitä tukevan suunnitelman.</w:t>
            </w:r>
          </w:p>
          <w:p w:rsidR="00292929" w:rsidRPr="00292929" w:rsidRDefault="00292929">
            <w:pPr>
              <w:spacing w:before="240"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Oppilas osaa kuvata yhteiskunnan erilaisia terveyspalveluja ja antaa </w:t>
            </w:r>
            <w:r w:rsidRPr="00292929">
              <w:rPr>
                <w:rFonts w:cstheme="minorHAnsi"/>
              </w:rPr>
              <w:lastRenderedPageBreak/>
              <w:t>esimerkkejä siitä, miten niitä voi hyödyntää eri 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Oppilas osaa soveltaa ja arvioida tietoa tekijöistä, jotka vaikuttavat opiskelu-, toiminta- ja työkykyyn, esimerkiksi laatimalla niitä tukevan perustellun suunnitelman.</w:t>
            </w:r>
          </w:p>
          <w:p w:rsidR="00292929" w:rsidRPr="00292929" w:rsidRDefault="00292929">
            <w:pPr>
              <w:spacing w:before="240"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Oppilas osaa kuvata ja arvioida yhteiskunnan </w:t>
            </w:r>
            <w:r w:rsidRPr="00292929">
              <w:rPr>
                <w:rFonts w:cstheme="minorHAnsi"/>
              </w:rPr>
              <w:lastRenderedPageBreak/>
              <w:t>erilaisia terveyspalveluja ja miten niitä voi hyödyntää asianmukaisesti eri tilanteissa.</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T11 ohjata oppilasta ymmärtämään ja arvioimaan perheen ja omaan elämänpiiriin kuuluvien ihmisten ja yhteisöjen edustamia terveyskäsityksiä, tunnistamaan niiden merkitystä itselle sekä muodostamaan kuvaa itselle sopivista oppimisen keinoista.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S1–S3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Oppilas oppii tarkastelemaan perheen ja omaan elämänpiiriin kuuluvien</w:t>
            </w:r>
          </w:p>
          <w:p w:rsidR="00292929" w:rsidRPr="00292929" w:rsidRDefault="00292929">
            <w:pPr>
              <w:spacing w:after="0"/>
              <w:ind w:right="100"/>
              <w:contextualSpacing/>
              <w:rPr>
                <w:rFonts w:cstheme="minorHAnsi"/>
              </w:rPr>
            </w:pPr>
            <w:r w:rsidRPr="00292929">
              <w:rPr>
                <w:rFonts w:cstheme="minorHAnsi"/>
              </w:rPr>
              <w:t>ihmisten ja yhteisöjen edustamia terveyskäsityksiä, tunnistaa niiden merkitystä itselle sekä oppii muodostamaan kuvaa itselle sopivista oppimisen keinoista.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Terveyskäsitysten arviointi sekä oppimista edistävien tekijöiden hahmottaminen</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kuvata esimerkin avulla, miten perhe, lähiyhteisöt tai muut sosiaaliset yhteisöt vaikuttavat käsityksiin terveydestä.</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nimetä omaa oppimistaan tukevan tekijän.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kuvata esimerkkien avulla, miten perhe, lähiyhteisöt tai muut sosiaaliset yhteisöt vaikuttavat käsityksiin terveydestä, sekä tunnistaa niiden vaikutuksen omiin terveyskäsityksiin.</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nimetä omaa oppimistaan tukevia tekijöitä.</w:t>
            </w:r>
          </w:p>
          <w:p w:rsidR="00292929" w:rsidRPr="00292929" w:rsidRDefault="00292929">
            <w:pPr>
              <w:spacing w:before="240" w:after="0"/>
              <w:contextualSpacing/>
              <w:rPr>
                <w:rFonts w:cstheme="minorHAnsi"/>
              </w:rPr>
            </w:pPr>
            <w:r w:rsidRPr="00292929">
              <w:rPr>
                <w:rFonts w:cstheme="minorHAnsi"/>
              </w:rPr>
              <w:lastRenderedPageBreak/>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Oppilas osaa analysoida asianmukaisten esimerkkien avulla, miten perhe, lähiyhteisöt ja muut sosiaaliset yhteisöt vaikuttavat käsityksiin terveydestä, sekä kuvata, mikä on niiden merkitys omille terveyskäsityksille.</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kuvata omaa oppimistaan tukevia tekijöitä.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arvioida, miten perhe, lähiyhteisöt ja muut sosiaaliset yhteisöt vaikuttavat käsityksiin terveydestä, sekä arvioida niiden merkitystä omille terveyskäsityksille.</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analysoida omaa oppimistaan tukevia tekijöitä.</w:t>
            </w:r>
          </w:p>
        </w:tc>
      </w:tr>
      <w:tr w:rsidR="00292929" w:rsidRPr="00292929" w:rsidTr="00292929">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lastRenderedPageBreak/>
              <w:t>T12 tukea oppilaan valmiuksia arvioida kriittisesti terveyteen ja sairauteen liittyvää viestintää sekä eritellä yksilön oikeuksia, vastuita ja vaikuttamiskeinoja terveyttä ja turvallisuutta koskevissa asioissa omassa oppimisympäristössä ja lähiyhteisöissä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Oppilas oppii arvioimaan kriittisesti terveyteen ja sairauteen liittyvää viestintää sekä oppii tarkastelemaan yksilön oikeuksia, vastuita ja vaikuttamiskeinoja terveyttä ja turvallisuutta koskevissa asioissa omassa oppimisympäristössä ja lähiyhteisöissä.</w:t>
            </w:r>
          </w:p>
          <w:p w:rsidR="00292929" w:rsidRPr="00292929" w:rsidRDefault="00292929">
            <w:pPr>
              <w:spacing w:before="240" w:after="0"/>
              <w:contextualSpacing/>
              <w:rPr>
                <w:rFonts w:cstheme="minorHAnsi"/>
              </w:rPr>
            </w:pPr>
            <w:r w:rsidRPr="00292929">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Terveyteen liittyvän viestinnän arviointi sekä terveyteen ja turvallisuuteen vaikuttavien keinojen tunteminen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nimetä yksittäisen terveysviestinnän vaikutuskeinon tai luotettavuuteen vaikuttavan tekijän.</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nimetä jonkin elämäntapojen seurauksen yhteiskunnalle tai ympäristön terveydelle tai turvallisuudelle.</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nimetä jonkin keinon, miten terveyteen ja turvallisuuteen voidaan vaikuttaa lähiyhteisössä.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analysoida ohjatusti terveyteen liittyvän viestinnän vaikutuskeinoja ja luotettavuutta.</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kuvata elämäntapojen seurauksia toisille ihmisille, yhteiskunnalle tai ympäristön terveydelle ja turvallisuudelle.</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kuvata keinoja, miten terveyteen ja turvallisuuteen voidaan vaikuttaa lähiyhteisössä.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ind w:right="100"/>
              <w:contextualSpacing/>
              <w:rPr>
                <w:rFonts w:cstheme="minorHAnsi"/>
              </w:rPr>
            </w:pPr>
            <w:r w:rsidRPr="00292929">
              <w:rPr>
                <w:rFonts w:cstheme="minorHAnsi"/>
              </w:rPr>
              <w:t>Oppilas osaa analysoida terveyteen liittyvän viestinnän vaikutuskeinoja ja luotettavuutta.</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Oppilas osaa analysoida elämäntapojen seurauksia toisille ihmisille, yhteiskunnalle ja ympäristön terveydelle ja turvallisuudelle.</w:t>
            </w:r>
          </w:p>
          <w:p w:rsidR="00292929" w:rsidRPr="00292929" w:rsidRDefault="00292929">
            <w:pPr>
              <w:spacing w:after="0"/>
              <w:ind w:right="100"/>
              <w:contextualSpacing/>
              <w:rPr>
                <w:rFonts w:cstheme="minorHAnsi"/>
              </w:rPr>
            </w:pPr>
            <w:r w:rsidRPr="00292929">
              <w:rPr>
                <w:rFonts w:cstheme="minorHAnsi"/>
              </w:rPr>
              <w:t xml:space="preserve"> </w:t>
            </w:r>
          </w:p>
          <w:p w:rsidR="00292929" w:rsidRPr="00292929" w:rsidRDefault="00292929">
            <w:pPr>
              <w:spacing w:after="0"/>
              <w:ind w:right="100"/>
              <w:contextualSpacing/>
              <w:rPr>
                <w:rFonts w:cstheme="minorHAnsi"/>
              </w:rPr>
            </w:pPr>
            <w:r w:rsidRPr="00292929">
              <w:rPr>
                <w:rFonts w:cstheme="minorHAnsi"/>
              </w:rPr>
              <w:t xml:space="preserve">Oppilas osaa analysoida keinoja, joilla terveyteen ja turvallisuuteen voidaan vaikuttaa lähiyhteisöissä.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292929" w:rsidRPr="00292929" w:rsidRDefault="00292929">
            <w:pPr>
              <w:spacing w:after="0"/>
              <w:contextualSpacing/>
              <w:rPr>
                <w:rFonts w:cstheme="minorHAnsi"/>
              </w:rPr>
            </w:pPr>
            <w:r w:rsidRPr="00292929">
              <w:rPr>
                <w:rFonts w:cstheme="minorHAnsi"/>
              </w:rPr>
              <w:t>Oppilas osaa arvioida terveyteen liittyvän viestinnän vaikutuskeinoja ja luotettavuutta.</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Oppilas osaa arvioida ja perustella elämäntapojen seurauksia toisille ihmisille, yhteiskunnalle ja ympäristön terveydelle ja turvallisuudelle.</w:t>
            </w:r>
          </w:p>
          <w:p w:rsidR="00292929" w:rsidRPr="00292929" w:rsidRDefault="00292929">
            <w:pPr>
              <w:spacing w:before="240" w:after="0"/>
              <w:contextualSpacing/>
              <w:rPr>
                <w:rFonts w:cstheme="minorHAnsi"/>
              </w:rPr>
            </w:pPr>
            <w:r w:rsidRPr="00292929">
              <w:rPr>
                <w:rFonts w:cstheme="minorHAnsi"/>
              </w:rPr>
              <w:t xml:space="preserve"> </w:t>
            </w:r>
          </w:p>
          <w:p w:rsidR="00292929" w:rsidRPr="00292929" w:rsidRDefault="00292929">
            <w:pPr>
              <w:spacing w:before="240" w:after="0"/>
              <w:contextualSpacing/>
              <w:rPr>
                <w:rFonts w:cstheme="minorHAnsi"/>
              </w:rPr>
            </w:pPr>
            <w:r w:rsidRPr="00292929">
              <w:rPr>
                <w:rFonts w:cstheme="minorHAnsi"/>
              </w:rPr>
              <w:t xml:space="preserve">Oppilas osaa arvioida ja perustella keinoja, joilla lähiyhteisöjen ja ympäristön terveyteen ja turvallisuuteen </w:t>
            </w:r>
            <w:r w:rsidRPr="00292929">
              <w:rPr>
                <w:rFonts w:cstheme="minorHAnsi"/>
              </w:rPr>
              <w:lastRenderedPageBreak/>
              <w:t>voidaan vaikuttaa.</w:t>
            </w:r>
          </w:p>
        </w:tc>
      </w:tr>
    </w:tbl>
    <w:p w:rsidR="00397208" w:rsidRPr="00292929" w:rsidRDefault="00397208" w:rsidP="00292929"/>
    <w:sectPr w:rsidR="00397208" w:rsidRPr="00292929" w:rsidSect="00EE1944">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44"/>
    <w:rsid w:val="0000615C"/>
    <w:rsid w:val="000F16FF"/>
    <w:rsid w:val="001854F6"/>
    <w:rsid w:val="001B37C3"/>
    <w:rsid w:val="00292929"/>
    <w:rsid w:val="00376D79"/>
    <w:rsid w:val="00397208"/>
    <w:rsid w:val="003E6549"/>
    <w:rsid w:val="004F3C68"/>
    <w:rsid w:val="005C66C0"/>
    <w:rsid w:val="006A6A10"/>
    <w:rsid w:val="007D4E52"/>
    <w:rsid w:val="008711C1"/>
    <w:rsid w:val="00DA1275"/>
    <w:rsid w:val="00DC1F9F"/>
    <w:rsid w:val="00EE19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 w:type="paragraph" w:customStyle="1" w:styleId="paragraph">
    <w:name w:val="paragraph"/>
    <w:basedOn w:val="Normaali"/>
    <w:rsid w:val="00DA12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1275"/>
  </w:style>
  <w:style w:type="character" w:customStyle="1" w:styleId="eop">
    <w:name w:val="eop"/>
    <w:basedOn w:val="Kappaleenoletusfontti"/>
    <w:rsid w:val="00DA1275"/>
  </w:style>
  <w:style w:type="character" w:customStyle="1" w:styleId="contextualspellingandgrammarerror">
    <w:name w:val="contextualspellingandgrammarerror"/>
    <w:basedOn w:val="Kappaleenoletusfontti"/>
    <w:rsid w:val="00DA1275"/>
  </w:style>
  <w:style w:type="character" w:styleId="Kommentinviite">
    <w:name w:val="annotation reference"/>
    <w:basedOn w:val="Kappaleenoletusfontti"/>
    <w:uiPriority w:val="99"/>
    <w:semiHidden/>
    <w:unhideWhenUsed/>
    <w:rsid w:val="004F3C68"/>
    <w:rPr>
      <w:sz w:val="16"/>
      <w:szCs w:val="16"/>
    </w:rPr>
  </w:style>
  <w:style w:type="paragraph" w:customStyle="1" w:styleId="xxxxmsonormal">
    <w:name w:val="x_xxxmsonormal"/>
    <w:basedOn w:val="Normaali"/>
    <w:rsid w:val="008711C1"/>
    <w:pPr>
      <w:spacing w:after="0" w:line="240" w:lineRule="auto"/>
    </w:pPr>
    <w:rPr>
      <w:rFonts w:ascii="Calibri" w:eastAsiaTheme="minorEastAsia" w:hAnsi="Calibri" w:cs="Calibri"/>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 w:type="paragraph" w:customStyle="1" w:styleId="paragraph">
    <w:name w:val="paragraph"/>
    <w:basedOn w:val="Normaali"/>
    <w:rsid w:val="00DA12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1275"/>
  </w:style>
  <w:style w:type="character" w:customStyle="1" w:styleId="eop">
    <w:name w:val="eop"/>
    <w:basedOn w:val="Kappaleenoletusfontti"/>
    <w:rsid w:val="00DA1275"/>
  </w:style>
  <w:style w:type="character" w:customStyle="1" w:styleId="contextualspellingandgrammarerror">
    <w:name w:val="contextualspellingandgrammarerror"/>
    <w:basedOn w:val="Kappaleenoletusfontti"/>
    <w:rsid w:val="00DA1275"/>
  </w:style>
  <w:style w:type="character" w:styleId="Kommentinviite">
    <w:name w:val="annotation reference"/>
    <w:basedOn w:val="Kappaleenoletusfontti"/>
    <w:uiPriority w:val="99"/>
    <w:semiHidden/>
    <w:unhideWhenUsed/>
    <w:rsid w:val="004F3C68"/>
    <w:rPr>
      <w:sz w:val="16"/>
      <w:szCs w:val="16"/>
    </w:rPr>
  </w:style>
  <w:style w:type="paragraph" w:customStyle="1" w:styleId="xxxxmsonormal">
    <w:name w:val="x_xxxmsonormal"/>
    <w:basedOn w:val="Normaali"/>
    <w:rsid w:val="008711C1"/>
    <w:pPr>
      <w:spacing w:after="0" w:line="240" w:lineRule="auto"/>
    </w:pPr>
    <w:rPr>
      <w:rFonts w:ascii="Calibri" w:eastAsiaTheme="minorEastAsia" w:hAnsi="Calibri" w:cs="Calibri"/>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931">
      <w:bodyDiv w:val="1"/>
      <w:marLeft w:val="0"/>
      <w:marRight w:val="0"/>
      <w:marTop w:val="0"/>
      <w:marBottom w:val="0"/>
      <w:divBdr>
        <w:top w:val="none" w:sz="0" w:space="0" w:color="auto"/>
        <w:left w:val="none" w:sz="0" w:space="0" w:color="auto"/>
        <w:bottom w:val="none" w:sz="0" w:space="0" w:color="auto"/>
        <w:right w:val="none" w:sz="0" w:space="0" w:color="auto"/>
      </w:divBdr>
    </w:div>
    <w:div w:id="31612371">
      <w:bodyDiv w:val="1"/>
      <w:marLeft w:val="0"/>
      <w:marRight w:val="0"/>
      <w:marTop w:val="0"/>
      <w:marBottom w:val="0"/>
      <w:divBdr>
        <w:top w:val="none" w:sz="0" w:space="0" w:color="auto"/>
        <w:left w:val="none" w:sz="0" w:space="0" w:color="auto"/>
        <w:bottom w:val="none" w:sz="0" w:space="0" w:color="auto"/>
        <w:right w:val="none" w:sz="0" w:space="0" w:color="auto"/>
      </w:divBdr>
    </w:div>
    <w:div w:id="166214677">
      <w:bodyDiv w:val="1"/>
      <w:marLeft w:val="0"/>
      <w:marRight w:val="0"/>
      <w:marTop w:val="0"/>
      <w:marBottom w:val="0"/>
      <w:divBdr>
        <w:top w:val="none" w:sz="0" w:space="0" w:color="auto"/>
        <w:left w:val="none" w:sz="0" w:space="0" w:color="auto"/>
        <w:bottom w:val="none" w:sz="0" w:space="0" w:color="auto"/>
        <w:right w:val="none" w:sz="0" w:space="0" w:color="auto"/>
      </w:divBdr>
    </w:div>
    <w:div w:id="253561487">
      <w:bodyDiv w:val="1"/>
      <w:marLeft w:val="0"/>
      <w:marRight w:val="0"/>
      <w:marTop w:val="0"/>
      <w:marBottom w:val="0"/>
      <w:divBdr>
        <w:top w:val="none" w:sz="0" w:space="0" w:color="auto"/>
        <w:left w:val="none" w:sz="0" w:space="0" w:color="auto"/>
        <w:bottom w:val="none" w:sz="0" w:space="0" w:color="auto"/>
        <w:right w:val="none" w:sz="0" w:space="0" w:color="auto"/>
      </w:divBdr>
    </w:div>
    <w:div w:id="437722702">
      <w:bodyDiv w:val="1"/>
      <w:marLeft w:val="0"/>
      <w:marRight w:val="0"/>
      <w:marTop w:val="0"/>
      <w:marBottom w:val="0"/>
      <w:divBdr>
        <w:top w:val="none" w:sz="0" w:space="0" w:color="auto"/>
        <w:left w:val="none" w:sz="0" w:space="0" w:color="auto"/>
        <w:bottom w:val="none" w:sz="0" w:space="0" w:color="auto"/>
        <w:right w:val="none" w:sz="0" w:space="0" w:color="auto"/>
      </w:divBdr>
    </w:div>
    <w:div w:id="442918036">
      <w:bodyDiv w:val="1"/>
      <w:marLeft w:val="0"/>
      <w:marRight w:val="0"/>
      <w:marTop w:val="0"/>
      <w:marBottom w:val="0"/>
      <w:divBdr>
        <w:top w:val="none" w:sz="0" w:space="0" w:color="auto"/>
        <w:left w:val="none" w:sz="0" w:space="0" w:color="auto"/>
        <w:bottom w:val="none" w:sz="0" w:space="0" w:color="auto"/>
        <w:right w:val="none" w:sz="0" w:space="0" w:color="auto"/>
      </w:divBdr>
    </w:div>
    <w:div w:id="974215576">
      <w:bodyDiv w:val="1"/>
      <w:marLeft w:val="0"/>
      <w:marRight w:val="0"/>
      <w:marTop w:val="0"/>
      <w:marBottom w:val="0"/>
      <w:divBdr>
        <w:top w:val="none" w:sz="0" w:space="0" w:color="auto"/>
        <w:left w:val="none" w:sz="0" w:space="0" w:color="auto"/>
        <w:bottom w:val="none" w:sz="0" w:space="0" w:color="auto"/>
        <w:right w:val="none" w:sz="0" w:space="0" w:color="auto"/>
      </w:divBdr>
    </w:div>
    <w:div w:id="1499542340">
      <w:bodyDiv w:val="1"/>
      <w:marLeft w:val="0"/>
      <w:marRight w:val="0"/>
      <w:marTop w:val="0"/>
      <w:marBottom w:val="0"/>
      <w:divBdr>
        <w:top w:val="none" w:sz="0" w:space="0" w:color="auto"/>
        <w:left w:val="none" w:sz="0" w:space="0" w:color="auto"/>
        <w:bottom w:val="none" w:sz="0" w:space="0" w:color="auto"/>
        <w:right w:val="none" w:sz="0" w:space="0" w:color="auto"/>
      </w:divBdr>
    </w:div>
    <w:div w:id="1805153380">
      <w:bodyDiv w:val="1"/>
      <w:marLeft w:val="0"/>
      <w:marRight w:val="0"/>
      <w:marTop w:val="0"/>
      <w:marBottom w:val="0"/>
      <w:divBdr>
        <w:top w:val="none" w:sz="0" w:space="0" w:color="auto"/>
        <w:left w:val="none" w:sz="0" w:space="0" w:color="auto"/>
        <w:bottom w:val="none" w:sz="0" w:space="0" w:color="auto"/>
        <w:right w:val="none" w:sz="0" w:space="0" w:color="auto"/>
      </w:divBdr>
    </w:div>
    <w:div w:id="1974869322">
      <w:bodyDiv w:val="1"/>
      <w:marLeft w:val="0"/>
      <w:marRight w:val="0"/>
      <w:marTop w:val="0"/>
      <w:marBottom w:val="0"/>
      <w:divBdr>
        <w:top w:val="none" w:sz="0" w:space="0" w:color="auto"/>
        <w:left w:val="none" w:sz="0" w:space="0" w:color="auto"/>
        <w:bottom w:val="none" w:sz="0" w:space="0" w:color="auto"/>
        <w:right w:val="none" w:sz="0" w:space="0" w:color="auto"/>
      </w:divBdr>
    </w:div>
    <w:div w:id="1995064764">
      <w:bodyDiv w:val="1"/>
      <w:marLeft w:val="0"/>
      <w:marRight w:val="0"/>
      <w:marTop w:val="0"/>
      <w:marBottom w:val="0"/>
      <w:divBdr>
        <w:top w:val="none" w:sz="0" w:space="0" w:color="auto"/>
        <w:left w:val="none" w:sz="0" w:space="0" w:color="auto"/>
        <w:bottom w:val="none" w:sz="0" w:space="0" w:color="auto"/>
        <w:right w:val="none" w:sz="0" w:space="0" w:color="auto"/>
      </w:divBdr>
    </w:div>
    <w:div w:id="1998798140">
      <w:bodyDiv w:val="1"/>
      <w:marLeft w:val="0"/>
      <w:marRight w:val="0"/>
      <w:marTop w:val="0"/>
      <w:marBottom w:val="0"/>
      <w:divBdr>
        <w:top w:val="none" w:sz="0" w:space="0" w:color="auto"/>
        <w:left w:val="none" w:sz="0" w:space="0" w:color="auto"/>
        <w:bottom w:val="none" w:sz="0" w:space="0" w:color="auto"/>
        <w:right w:val="none" w:sz="0" w:space="0" w:color="auto"/>
      </w:divBdr>
    </w:div>
    <w:div w:id="2147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2078</Words>
  <Characters>16835</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2021-04-13T15:13:00Z</cp:lastPrinted>
  <dcterms:created xsi:type="dcterms:W3CDTF">2021-04-13T15:21:00Z</dcterms:created>
  <dcterms:modified xsi:type="dcterms:W3CDTF">2021-04-13T15:21:00Z</dcterms:modified>
</cp:coreProperties>
</file>