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2C214" w14:textId="2077F6CA" w:rsidR="005E660B" w:rsidRDefault="00F04DA2">
      <w:r w:rsidRPr="000B1058">
        <w:rPr>
          <w:b/>
          <w:bCs/>
          <w:sz w:val="28"/>
          <w:szCs w:val="28"/>
        </w:rPr>
        <w:t>VARPARANNAN KOULUN TASA-ARVO- JA YHDENVERTAISUUSSUUNNITELMA</w:t>
      </w:r>
      <w:r>
        <w:br/>
      </w:r>
      <w:r w:rsidR="000B1058">
        <w:t>L</w:t>
      </w:r>
      <w:r>
        <w:t xml:space="preserve">ukuvuosi </w:t>
      </w:r>
      <w:r w:rsidR="000B1058">
        <w:t>2025–2026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973"/>
        <w:gridCol w:w="3205"/>
        <w:gridCol w:w="2586"/>
        <w:gridCol w:w="1538"/>
        <w:gridCol w:w="2821"/>
        <w:gridCol w:w="2265"/>
      </w:tblGrid>
      <w:tr w:rsidR="00F04DA2" w14:paraId="6826375D" w14:textId="77777777" w:rsidTr="00505D19">
        <w:tc>
          <w:tcPr>
            <w:tcW w:w="2912" w:type="dxa"/>
          </w:tcPr>
          <w:p w14:paraId="61BA1F6F" w14:textId="77777777" w:rsidR="00F04DA2" w:rsidRDefault="00F04DA2" w:rsidP="00505D19">
            <w:r>
              <w:t>TAVOITE</w:t>
            </w:r>
          </w:p>
        </w:tc>
        <w:tc>
          <w:tcPr>
            <w:tcW w:w="2626" w:type="dxa"/>
          </w:tcPr>
          <w:p w14:paraId="3C54DAD0" w14:textId="77777777" w:rsidR="00F04DA2" w:rsidRDefault="00F04DA2" w:rsidP="00505D19">
            <w:r>
              <w:t>TOIMENPITEET</w:t>
            </w:r>
          </w:p>
        </w:tc>
        <w:tc>
          <w:tcPr>
            <w:tcW w:w="2533" w:type="dxa"/>
          </w:tcPr>
          <w:p w14:paraId="1E5B3036" w14:textId="77777777" w:rsidR="00F04DA2" w:rsidRDefault="00F04DA2" w:rsidP="00505D19">
            <w:r>
              <w:t>VASTUUHENKILÖT</w:t>
            </w:r>
          </w:p>
        </w:tc>
        <w:tc>
          <w:tcPr>
            <w:tcW w:w="1508" w:type="dxa"/>
          </w:tcPr>
          <w:p w14:paraId="2B554882" w14:textId="77777777" w:rsidR="00F04DA2" w:rsidRDefault="00F04DA2" w:rsidP="00505D19">
            <w:r>
              <w:t>AIKATAULU</w:t>
            </w:r>
          </w:p>
        </w:tc>
        <w:tc>
          <w:tcPr>
            <w:tcW w:w="2404" w:type="dxa"/>
          </w:tcPr>
          <w:p w14:paraId="01CB623F" w14:textId="77777777" w:rsidR="00F04DA2" w:rsidRDefault="00F04DA2" w:rsidP="00505D19">
            <w:r>
              <w:t>SEURANNAN MITTARIT</w:t>
            </w:r>
          </w:p>
        </w:tc>
        <w:tc>
          <w:tcPr>
            <w:tcW w:w="2011" w:type="dxa"/>
          </w:tcPr>
          <w:p w14:paraId="7284B525" w14:textId="77777777" w:rsidR="00F04DA2" w:rsidRDefault="00F04DA2" w:rsidP="00505D19">
            <w:r>
              <w:t>ARVIOINTI</w:t>
            </w:r>
          </w:p>
        </w:tc>
      </w:tr>
      <w:tr w:rsidR="00F04DA2" w14:paraId="1969FB37" w14:textId="77777777" w:rsidTr="00505D19">
        <w:tc>
          <w:tcPr>
            <w:tcW w:w="2912" w:type="dxa"/>
          </w:tcPr>
          <w:p w14:paraId="1D26E359" w14:textId="77777777" w:rsidR="00F04DA2" w:rsidRPr="00685D78" w:rsidRDefault="00F04DA2" w:rsidP="00505D19">
            <w:pPr>
              <w:spacing w:after="160" w:line="278" w:lineRule="auto"/>
            </w:pPr>
            <w:r w:rsidRPr="00685D78">
              <w:t>Tasa-arvo ja yhdenvertaisuusasioiden tunteminen - kiusaamisen, syrjinnän ja häirinnän tunnistaminen ja siihen puuttuminen</w:t>
            </w:r>
          </w:p>
          <w:p w14:paraId="77EC8AC5" w14:textId="77777777" w:rsidR="00F04DA2" w:rsidRDefault="00F04DA2" w:rsidP="00505D19"/>
        </w:tc>
        <w:tc>
          <w:tcPr>
            <w:tcW w:w="2626" w:type="dxa"/>
          </w:tcPr>
          <w:p w14:paraId="4894A5AC" w14:textId="77777777" w:rsidR="00F04DA2" w:rsidRDefault="00F04DA2" w:rsidP="00505D19">
            <w:pPr>
              <w:spacing w:after="160" w:line="278" w:lineRule="auto"/>
            </w:pPr>
            <w:r w:rsidRPr="00685D78">
              <w:t>Käydään keskustelua henkilöstön kesken sekä oppilaiden ja huoltajien kanssa koulun tasa-arvo- ja yhdenvertaisuusasioista</w:t>
            </w:r>
            <w:r>
              <w:t>.</w:t>
            </w:r>
          </w:p>
          <w:p w14:paraId="09A485F0" w14:textId="77777777" w:rsidR="00F04DA2" w:rsidRDefault="00F04DA2" w:rsidP="00505D19">
            <w:pPr>
              <w:spacing w:after="160" w:line="278" w:lineRule="auto"/>
            </w:pPr>
          </w:p>
          <w:p w14:paraId="07B3027C" w14:textId="77777777" w:rsidR="00F04DA2" w:rsidRDefault="00F04DA2" w:rsidP="00505D19">
            <w:pPr>
              <w:spacing w:after="160" w:line="278" w:lineRule="auto"/>
            </w:pPr>
            <w:r w:rsidRPr="00685D78">
              <w:t>Tasa-arvo ja yhdenvertaisuusasioiden nostaminen osaksi opetusta ja oppitunteja.</w:t>
            </w:r>
          </w:p>
          <w:p w14:paraId="79730EA8" w14:textId="77777777" w:rsidR="00F04DA2" w:rsidRDefault="00F04DA2" w:rsidP="00505D19">
            <w:pPr>
              <w:spacing w:after="160" w:line="278" w:lineRule="auto"/>
            </w:pPr>
          </w:p>
          <w:p w14:paraId="4E064B66" w14:textId="77777777" w:rsidR="00F04DA2" w:rsidRPr="00685D78" w:rsidRDefault="00F04DA2" w:rsidP="00505D19">
            <w:pPr>
              <w:spacing w:after="160" w:line="278" w:lineRule="auto"/>
            </w:pPr>
            <w:r w:rsidRPr="00685D78">
              <w:t>Puuttuminen: Koulun suunnitelma oppilaiden suojaamiseksi väkivallalta, kiusaamiselta ja häirinnältä sisältää toimintamallin.</w:t>
            </w:r>
          </w:p>
          <w:p w14:paraId="6287785F" w14:textId="77777777" w:rsidR="00F04DA2" w:rsidRDefault="00F04DA2" w:rsidP="00505D19"/>
        </w:tc>
        <w:tc>
          <w:tcPr>
            <w:tcW w:w="2533" w:type="dxa"/>
          </w:tcPr>
          <w:p w14:paraId="0221B912" w14:textId="77777777" w:rsidR="00F04DA2" w:rsidRPr="00685D78" w:rsidRDefault="00F04DA2" w:rsidP="00505D19">
            <w:pPr>
              <w:spacing w:after="160" w:line="278" w:lineRule="auto"/>
            </w:pPr>
            <w:r>
              <w:t>k</w:t>
            </w:r>
            <w:r w:rsidRPr="00685D78">
              <w:t>oulunjohtaja</w:t>
            </w:r>
          </w:p>
          <w:p w14:paraId="62C591DF" w14:textId="77777777" w:rsidR="00F04DA2" w:rsidRPr="00685D78" w:rsidRDefault="00F04DA2" w:rsidP="00505D19">
            <w:pPr>
              <w:spacing w:after="160" w:line="278" w:lineRule="auto"/>
            </w:pPr>
            <w:r w:rsidRPr="00685D78">
              <w:t>oppilaskuntatoiminnasta vastaava opettaja</w:t>
            </w:r>
          </w:p>
          <w:p w14:paraId="507A09E8" w14:textId="77777777" w:rsidR="00F04DA2" w:rsidRDefault="00F04DA2" w:rsidP="00505D19"/>
          <w:p w14:paraId="74DAD75B" w14:textId="77777777" w:rsidR="00F04DA2" w:rsidRDefault="00F04DA2" w:rsidP="00505D19"/>
          <w:p w14:paraId="0A84A23E" w14:textId="77777777" w:rsidR="00F04DA2" w:rsidRDefault="00F04DA2" w:rsidP="00505D19"/>
          <w:p w14:paraId="1D50D275" w14:textId="77777777" w:rsidR="00F04DA2" w:rsidRDefault="00F04DA2" w:rsidP="00505D19"/>
          <w:p w14:paraId="40A6933E" w14:textId="77777777" w:rsidR="00F04DA2" w:rsidRDefault="00F04DA2" w:rsidP="00505D19">
            <w:r>
              <w:t>luokanopettajat</w:t>
            </w:r>
          </w:p>
          <w:p w14:paraId="516B88F7" w14:textId="77777777" w:rsidR="00F04DA2" w:rsidRDefault="00F04DA2" w:rsidP="00505D19"/>
          <w:p w14:paraId="25724499" w14:textId="77777777" w:rsidR="00F04DA2" w:rsidRDefault="00F04DA2" w:rsidP="00505D19"/>
          <w:p w14:paraId="2BBE6565" w14:textId="77777777" w:rsidR="00F04DA2" w:rsidRDefault="00F04DA2" w:rsidP="00505D19"/>
          <w:p w14:paraId="424495EE" w14:textId="77777777" w:rsidR="00F04DA2" w:rsidRDefault="00F04DA2" w:rsidP="00505D19"/>
          <w:p w14:paraId="5C3894D0" w14:textId="77777777" w:rsidR="00F04DA2" w:rsidRDefault="00F04DA2" w:rsidP="00505D19"/>
          <w:p w14:paraId="01B1E91A" w14:textId="77777777" w:rsidR="00F04DA2" w:rsidRDefault="00F04DA2" w:rsidP="00505D19"/>
          <w:p w14:paraId="21482F63" w14:textId="77777777" w:rsidR="00F04DA2" w:rsidRDefault="00F04DA2" w:rsidP="00505D19">
            <w:r>
              <w:t>luokanopettajat</w:t>
            </w:r>
          </w:p>
        </w:tc>
        <w:tc>
          <w:tcPr>
            <w:tcW w:w="1508" w:type="dxa"/>
          </w:tcPr>
          <w:p w14:paraId="694EB17F" w14:textId="77777777" w:rsidR="00F04DA2" w:rsidRDefault="00F04DA2" w:rsidP="00505D19">
            <w:r>
              <w:t>koko lukuvuosi</w:t>
            </w:r>
          </w:p>
          <w:p w14:paraId="0AFC3F63" w14:textId="77777777" w:rsidR="00F04DA2" w:rsidRDefault="00F04DA2" w:rsidP="00505D19"/>
          <w:p w14:paraId="0A18822C" w14:textId="77777777" w:rsidR="00F04DA2" w:rsidRDefault="00F04DA2" w:rsidP="00505D19"/>
          <w:p w14:paraId="69469737" w14:textId="77777777" w:rsidR="00F04DA2" w:rsidRDefault="00F04DA2" w:rsidP="00505D19"/>
          <w:p w14:paraId="542412E3" w14:textId="77777777" w:rsidR="00F04DA2" w:rsidRDefault="00F04DA2" w:rsidP="00505D19"/>
          <w:p w14:paraId="06F57C9D" w14:textId="77777777" w:rsidR="00F04DA2" w:rsidRDefault="00F04DA2" w:rsidP="00505D19"/>
          <w:p w14:paraId="12BA46F7" w14:textId="77777777" w:rsidR="00F04DA2" w:rsidRDefault="00F04DA2" w:rsidP="00505D19"/>
          <w:p w14:paraId="0F41207D" w14:textId="77777777" w:rsidR="00F04DA2" w:rsidRDefault="00F04DA2" w:rsidP="00505D19">
            <w:r>
              <w:t>koko lukuvuosi</w:t>
            </w:r>
          </w:p>
          <w:p w14:paraId="50881C13" w14:textId="77777777" w:rsidR="00F04DA2" w:rsidRDefault="00F04DA2" w:rsidP="00505D19"/>
          <w:p w14:paraId="10A9D561" w14:textId="77777777" w:rsidR="00F04DA2" w:rsidRDefault="00F04DA2" w:rsidP="00505D19"/>
          <w:p w14:paraId="5E6BA0DC" w14:textId="77777777" w:rsidR="00F04DA2" w:rsidRDefault="00F04DA2" w:rsidP="00505D19"/>
          <w:p w14:paraId="620701B8" w14:textId="77777777" w:rsidR="00F04DA2" w:rsidRDefault="00F04DA2" w:rsidP="00505D19"/>
          <w:p w14:paraId="41D9DBF7" w14:textId="77777777" w:rsidR="00F04DA2" w:rsidRDefault="00F04DA2" w:rsidP="00505D19"/>
          <w:p w14:paraId="49F4A59B" w14:textId="77777777" w:rsidR="00F04DA2" w:rsidRDefault="00F04DA2" w:rsidP="00505D19"/>
          <w:p w14:paraId="4981F530" w14:textId="77777777" w:rsidR="00F04DA2" w:rsidRDefault="00F04DA2" w:rsidP="00505D19">
            <w:r>
              <w:t>koko lukuvuosi</w:t>
            </w:r>
          </w:p>
        </w:tc>
        <w:tc>
          <w:tcPr>
            <w:tcW w:w="2404" w:type="dxa"/>
          </w:tcPr>
          <w:p w14:paraId="19A81007" w14:textId="77777777" w:rsidR="00F04DA2" w:rsidRPr="00685D78" w:rsidRDefault="00F04DA2" w:rsidP="00505D19">
            <w:pPr>
              <w:spacing w:after="160" w:line="278" w:lineRule="auto"/>
            </w:pPr>
            <w:r w:rsidRPr="00685D78">
              <w:t>Henkilöstöpalaverit, oppitunnit, oppilaskuntapalaverit, yhteisölliset opiskeluhuoltopalaverit</w:t>
            </w:r>
          </w:p>
          <w:p w14:paraId="5F7B8AFF" w14:textId="77777777" w:rsidR="00F04DA2" w:rsidRDefault="00F04DA2" w:rsidP="00505D19"/>
          <w:p w14:paraId="21904A28" w14:textId="77777777" w:rsidR="00F04DA2" w:rsidRDefault="00F04DA2" w:rsidP="00505D19"/>
          <w:p w14:paraId="37799B20" w14:textId="77777777" w:rsidR="00F04DA2" w:rsidRDefault="00F04DA2" w:rsidP="00505D19">
            <w:r>
              <w:t>oppitunnit</w:t>
            </w:r>
          </w:p>
        </w:tc>
        <w:tc>
          <w:tcPr>
            <w:tcW w:w="2011" w:type="dxa"/>
          </w:tcPr>
          <w:p w14:paraId="4F40F61D" w14:textId="291CE62E" w:rsidR="00F04DA2" w:rsidRDefault="004D41EC" w:rsidP="00505D19">
            <w:pPr>
              <w:spacing w:after="160" w:line="278" w:lineRule="auto"/>
            </w:pPr>
            <w:r>
              <w:t>o</w:t>
            </w:r>
            <w:r w:rsidR="00F04DA2" w:rsidRPr="00685D78">
              <w:t>sana vuosisuunnitelman arviointia</w:t>
            </w:r>
          </w:p>
          <w:p w14:paraId="0A2E8810" w14:textId="77777777" w:rsidR="00F04DA2" w:rsidRDefault="00F04DA2" w:rsidP="00505D19">
            <w:pPr>
              <w:spacing w:after="160" w:line="278" w:lineRule="auto"/>
            </w:pPr>
          </w:p>
          <w:p w14:paraId="362672E7" w14:textId="77777777" w:rsidR="00F04DA2" w:rsidRDefault="00F04DA2" w:rsidP="00505D19">
            <w:pPr>
              <w:spacing w:after="160" w:line="278" w:lineRule="auto"/>
            </w:pPr>
          </w:p>
          <w:p w14:paraId="7C12DE62" w14:textId="77777777" w:rsidR="00F04DA2" w:rsidRDefault="00F04DA2" w:rsidP="00505D19">
            <w:pPr>
              <w:spacing w:after="160" w:line="278" w:lineRule="auto"/>
            </w:pPr>
          </w:p>
          <w:p w14:paraId="7AEA46F7" w14:textId="77777777" w:rsidR="00F04DA2" w:rsidRPr="00685D78" w:rsidRDefault="00F04DA2" w:rsidP="00505D19">
            <w:pPr>
              <w:spacing w:after="160" w:line="278" w:lineRule="auto"/>
            </w:pPr>
            <w:r w:rsidRPr="00685D78">
              <w:t>osana opetuksen arviointia</w:t>
            </w:r>
          </w:p>
          <w:p w14:paraId="08B16B31" w14:textId="77777777" w:rsidR="00F04DA2" w:rsidRDefault="00F04DA2" w:rsidP="00505D19"/>
        </w:tc>
      </w:tr>
      <w:tr w:rsidR="00F04DA2" w14:paraId="48F25A58" w14:textId="77777777" w:rsidTr="00505D19">
        <w:tc>
          <w:tcPr>
            <w:tcW w:w="2912" w:type="dxa"/>
          </w:tcPr>
          <w:p w14:paraId="11D71A3E" w14:textId="77777777" w:rsidR="00F04DA2" w:rsidRPr="00685D78" w:rsidRDefault="00F04DA2" w:rsidP="00505D19">
            <w:pPr>
              <w:spacing w:after="160" w:line="278" w:lineRule="auto"/>
            </w:pPr>
            <w:r w:rsidRPr="00685D78">
              <w:t>Tasa-arvoa ja yhdenvertaisuutta lisäävien toimintojen toteutumisen arviointi</w:t>
            </w:r>
          </w:p>
        </w:tc>
        <w:tc>
          <w:tcPr>
            <w:tcW w:w="2626" w:type="dxa"/>
          </w:tcPr>
          <w:p w14:paraId="041664EA" w14:textId="77777777" w:rsidR="00F04DA2" w:rsidRPr="00685D78" w:rsidRDefault="00F04DA2" w:rsidP="00505D19">
            <w:pPr>
              <w:spacing w:after="160" w:line="278" w:lineRule="auto"/>
            </w:pPr>
            <w:r w:rsidRPr="00685D78">
              <w:t>Sähköisen kyselyn toteuttaminen oppilaille.</w:t>
            </w:r>
          </w:p>
        </w:tc>
        <w:tc>
          <w:tcPr>
            <w:tcW w:w="2533" w:type="dxa"/>
          </w:tcPr>
          <w:p w14:paraId="59FF0D97" w14:textId="77777777" w:rsidR="00F04DA2" w:rsidRDefault="00F04DA2" w:rsidP="00505D19">
            <w:pPr>
              <w:spacing w:after="160" w:line="278" w:lineRule="auto"/>
            </w:pPr>
            <w:r>
              <w:t>luokanopettajat</w:t>
            </w:r>
          </w:p>
        </w:tc>
        <w:tc>
          <w:tcPr>
            <w:tcW w:w="1508" w:type="dxa"/>
          </w:tcPr>
          <w:p w14:paraId="28B93C17" w14:textId="720AC43E" w:rsidR="00F04DA2" w:rsidRPr="00685D78" w:rsidRDefault="00F04DA2" w:rsidP="00505D19">
            <w:pPr>
              <w:spacing w:after="160" w:line="278" w:lineRule="auto"/>
            </w:pPr>
            <w:r w:rsidRPr="00685D78">
              <w:t>syyslukukausi 20</w:t>
            </w:r>
            <w:r w:rsidR="004D41EC">
              <w:t>26 (kolmen vuoden välein)</w:t>
            </w:r>
          </w:p>
          <w:p w14:paraId="6542F6D9" w14:textId="77777777" w:rsidR="00F04DA2" w:rsidRDefault="00F04DA2" w:rsidP="00505D19"/>
        </w:tc>
        <w:tc>
          <w:tcPr>
            <w:tcW w:w="2404" w:type="dxa"/>
          </w:tcPr>
          <w:p w14:paraId="5504E163" w14:textId="77777777" w:rsidR="00F04DA2" w:rsidRPr="00685D78" w:rsidRDefault="00F04DA2" w:rsidP="00505D19">
            <w:r>
              <w:t>kyselyn toteutuminen</w:t>
            </w:r>
          </w:p>
        </w:tc>
        <w:tc>
          <w:tcPr>
            <w:tcW w:w="2011" w:type="dxa"/>
          </w:tcPr>
          <w:p w14:paraId="374764CA" w14:textId="77777777" w:rsidR="00F04DA2" w:rsidRPr="00685D78" w:rsidRDefault="00F04DA2" w:rsidP="00505D19">
            <w:r w:rsidRPr="00685D78">
              <w:t xml:space="preserve">Kyselyn tulosten läpikäyminen </w:t>
            </w:r>
            <w:r>
              <w:t xml:space="preserve">(esim. oppilaskunnan hallituksen kokouksessa ja </w:t>
            </w:r>
            <w:proofErr w:type="spellStart"/>
            <w:r>
              <w:t>yohr:ssä</w:t>
            </w:r>
            <w:proofErr w:type="spellEnd"/>
            <w:r>
              <w:t xml:space="preserve">) </w:t>
            </w:r>
            <w:r w:rsidRPr="00685D78">
              <w:t>ja jatkotoimenpiteist</w:t>
            </w:r>
            <w:r>
              <w:t>ä sopiminen</w:t>
            </w:r>
          </w:p>
        </w:tc>
      </w:tr>
      <w:tr w:rsidR="00F04DA2" w14:paraId="18BBA793" w14:textId="77777777" w:rsidTr="00505D19">
        <w:tc>
          <w:tcPr>
            <w:tcW w:w="2912" w:type="dxa"/>
          </w:tcPr>
          <w:p w14:paraId="1480CE51" w14:textId="77777777" w:rsidR="00F04DA2" w:rsidRPr="00685D78" w:rsidRDefault="00F04DA2" w:rsidP="00505D19">
            <w:pPr>
              <w:spacing w:after="160" w:line="278" w:lineRule="auto"/>
            </w:pPr>
            <w:r w:rsidRPr="00685D78">
              <w:lastRenderedPageBreak/>
              <w:t>Osallisuuden lisääminen</w:t>
            </w:r>
          </w:p>
          <w:p w14:paraId="2C77C5EE" w14:textId="77777777" w:rsidR="00F04DA2" w:rsidRPr="00685D78" w:rsidRDefault="00F04DA2" w:rsidP="00505D19"/>
        </w:tc>
        <w:tc>
          <w:tcPr>
            <w:tcW w:w="2626" w:type="dxa"/>
          </w:tcPr>
          <w:p w14:paraId="09F10066" w14:textId="77777777" w:rsidR="00F04DA2" w:rsidRPr="00685D78" w:rsidRDefault="00F04DA2" w:rsidP="00505D19">
            <w:r w:rsidRPr="00685D78">
              <w:t>Nostetaan aihetta esille yhteisöllisissä opiskeluhuolto-palavereissa sekä oppilaskuntatoiminnassa.</w:t>
            </w:r>
            <w:r w:rsidRPr="00685D78">
              <w:br/>
            </w:r>
            <w:r w:rsidRPr="00685D78">
              <w:br/>
              <w:t>Oppilaskunta järjestää tasa-arvoon ja yhdenvertaisuuteen liittyvän teemapäivän</w:t>
            </w:r>
            <w:r>
              <w:t xml:space="preserve"> tai -oppitunnin.</w:t>
            </w:r>
          </w:p>
        </w:tc>
        <w:tc>
          <w:tcPr>
            <w:tcW w:w="2533" w:type="dxa"/>
          </w:tcPr>
          <w:p w14:paraId="7DA900B9" w14:textId="77777777" w:rsidR="00F04DA2" w:rsidRDefault="00F04DA2" w:rsidP="00505D19">
            <w:r w:rsidRPr="00685D78">
              <w:t>koulunjohtaja ja opettajat yhdessä oppilaskunta</w:t>
            </w:r>
            <w:r>
              <w:t>t</w:t>
            </w:r>
            <w:r w:rsidRPr="00685D78">
              <w:t>oiminnasta vastaavan opettajan kanssa</w:t>
            </w:r>
            <w:r w:rsidRPr="00685D78">
              <w:br/>
            </w:r>
            <w:r w:rsidRPr="00685D78">
              <w:br/>
            </w:r>
            <w:r w:rsidRPr="00685D78">
              <w:br/>
              <w:t>Oppilaskunta, oppilaskunnan ohjaava opettaja</w:t>
            </w:r>
          </w:p>
        </w:tc>
        <w:tc>
          <w:tcPr>
            <w:tcW w:w="1508" w:type="dxa"/>
          </w:tcPr>
          <w:p w14:paraId="578DB7D6" w14:textId="77777777" w:rsidR="00F04DA2" w:rsidRDefault="00F04DA2" w:rsidP="00505D19">
            <w:r>
              <w:t>koko lukuvuosi</w:t>
            </w:r>
          </w:p>
          <w:p w14:paraId="72D265AE" w14:textId="77777777" w:rsidR="00F04DA2" w:rsidRDefault="00F04DA2" w:rsidP="00505D19"/>
          <w:p w14:paraId="0C93B55B" w14:textId="77777777" w:rsidR="00F04DA2" w:rsidRDefault="00F04DA2" w:rsidP="00505D19"/>
          <w:p w14:paraId="19A12254" w14:textId="77777777" w:rsidR="00F04DA2" w:rsidRDefault="00F04DA2" w:rsidP="00505D19"/>
          <w:p w14:paraId="55AEA1D1" w14:textId="77777777" w:rsidR="00F04DA2" w:rsidRDefault="00F04DA2" w:rsidP="00505D19"/>
          <w:p w14:paraId="2782BCB3" w14:textId="77777777" w:rsidR="00F04DA2" w:rsidRDefault="00F04DA2" w:rsidP="00505D19"/>
          <w:p w14:paraId="5D8DD679" w14:textId="77777777" w:rsidR="00F04DA2" w:rsidRDefault="00F04DA2" w:rsidP="00505D19"/>
          <w:p w14:paraId="2569C9AF" w14:textId="77777777" w:rsidR="00F04DA2" w:rsidRDefault="00F04DA2" w:rsidP="00505D19">
            <w:r>
              <w:t>kevät 2026</w:t>
            </w:r>
          </w:p>
        </w:tc>
        <w:tc>
          <w:tcPr>
            <w:tcW w:w="2404" w:type="dxa"/>
          </w:tcPr>
          <w:p w14:paraId="666AFD5D" w14:textId="77777777" w:rsidR="00F04DA2" w:rsidRPr="00685D78" w:rsidRDefault="00F04DA2" w:rsidP="00505D19">
            <w:r w:rsidRPr="00685D78">
              <w:t>Yhteisöllisissä opiskeluhuoltopalavereissa otetaan tasa-arvo- ja yhdenvertaisuusasioita esille ja käydään aiheesta keskustelua.</w:t>
            </w:r>
          </w:p>
        </w:tc>
        <w:tc>
          <w:tcPr>
            <w:tcW w:w="2011" w:type="dxa"/>
          </w:tcPr>
          <w:p w14:paraId="3186BADE" w14:textId="77777777" w:rsidR="00F04DA2" w:rsidRPr="00685D78" w:rsidRDefault="00F04DA2" w:rsidP="00505D19">
            <w:r w:rsidRPr="00685D78">
              <w:t>Vuosisuunnitelman arvioinnin yhteydessä arvioidaan osallisuuden toteutumista käytyjen keskustelujen pohjalta</w:t>
            </w:r>
            <w:r>
              <w:t>.</w:t>
            </w:r>
          </w:p>
        </w:tc>
      </w:tr>
      <w:tr w:rsidR="00F04DA2" w14:paraId="45AA2D72" w14:textId="77777777" w:rsidTr="00505D19">
        <w:tc>
          <w:tcPr>
            <w:tcW w:w="2912" w:type="dxa"/>
          </w:tcPr>
          <w:p w14:paraId="72186C78" w14:textId="77777777" w:rsidR="00F04DA2" w:rsidRPr="00685D78" w:rsidRDefault="00F04DA2" w:rsidP="00505D19">
            <w:r w:rsidRPr="00685D78">
              <w:t>Opetushenkilöstön tasa-arvo- ja yhdenvertaisuustietoisuuden päivittäminen ja lisääminen</w:t>
            </w:r>
          </w:p>
        </w:tc>
        <w:tc>
          <w:tcPr>
            <w:tcW w:w="2626" w:type="dxa"/>
          </w:tcPr>
          <w:p w14:paraId="2E062F08" w14:textId="77777777" w:rsidR="00F04DA2" w:rsidRDefault="00F04DA2" w:rsidP="00505D19">
            <w:r w:rsidRPr="00685D78">
              <w:t xml:space="preserve">Opetushenkilöstö osallistuu tasa-arvo ja yhdenvertaisuussuunnitelmaan päivittämiseen ja käy keskustelua aiheesta. </w:t>
            </w:r>
          </w:p>
          <w:p w14:paraId="3E470E10" w14:textId="77777777" w:rsidR="00F04DA2" w:rsidRDefault="00F04DA2" w:rsidP="00505D19"/>
          <w:p w14:paraId="46F35294" w14:textId="77777777" w:rsidR="00F04DA2" w:rsidRPr="00685D78" w:rsidRDefault="00F04DA2" w:rsidP="00505D19">
            <w:r w:rsidRPr="00685D78">
              <w:t>Opetushenkilöstö perehtyy opetushallituksen </w:t>
            </w:r>
            <w:hyperlink r:id="rId4" w:tgtFrame="_blank" w:history="1">
              <w:r w:rsidRPr="00685D78">
                <w:rPr>
                  <w:rStyle w:val="Hyperlinkki"/>
                </w:rPr>
                <w:t>Tasa-arvotyö on taitolaji</w:t>
              </w:r>
            </w:hyperlink>
            <w:r w:rsidRPr="00685D78">
              <w:t> -julkaisuun (2015)</w:t>
            </w:r>
            <w:r>
              <w:t>.</w:t>
            </w:r>
          </w:p>
        </w:tc>
        <w:tc>
          <w:tcPr>
            <w:tcW w:w="2533" w:type="dxa"/>
          </w:tcPr>
          <w:p w14:paraId="7FB3DEA3" w14:textId="77777777" w:rsidR="00F04DA2" w:rsidRDefault="00F04DA2" w:rsidP="00505D19">
            <w:r>
              <w:t>opetushenkilöstö</w:t>
            </w:r>
          </w:p>
        </w:tc>
        <w:tc>
          <w:tcPr>
            <w:tcW w:w="1508" w:type="dxa"/>
          </w:tcPr>
          <w:p w14:paraId="3271227B" w14:textId="77777777" w:rsidR="00F04DA2" w:rsidRDefault="00F04DA2" w:rsidP="00505D19">
            <w:r>
              <w:t>syyslukukausi 2025</w:t>
            </w:r>
          </w:p>
        </w:tc>
        <w:tc>
          <w:tcPr>
            <w:tcW w:w="2404" w:type="dxa"/>
          </w:tcPr>
          <w:p w14:paraId="3944878D" w14:textId="77777777" w:rsidR="00F04DA2" w:rsidRPr="00685D78" w:rsidRDefault="00F04DA2" w:rsidP="00505D19">
            <w:r w:rsidRPr="00685D78">
              <w:t>Materiaaliin tutustumisen kuittaaminen listaan</w:t>
            </w:r>
          </w:p>
        </w:tc>
        <w:tc>
          <w:tcPr>
            <w:tcW w:w="2011" w:type="dxa"/>
          </w:tcPr>
          <w:p w14:paraId="1510EEE9" w14:textId="77777777" w:rsidR="00F04DA2" w:rsidRPr="00685D78" w:rsidRDefault="00F04DA2" w:rsidP="00505D19">
            <w:r w:rsidRPr="00685D78">
              <w:t>Toimintakertomuksen yhteydessä</w:t>
            </w:r>
          </w:p>
        </w:tc>
      </w:tr>
      <w:tr w:rsidR="00F04DA2" w14:paraId="1C921EDA" w14:textId="77777777" w:rsidTr="00505D19">
        <w:tc>
          <w:tcPr>
            <w:tcW w:w="2912" w:type="dxa"/>
          </w:tcPr>
          <w:p w14:paraId="2C9E4F39" w14:textId="77777777" w:rsidR="00F04DA2" w:rsidRPr="00685D78" w:rsidRDefault="00F04DA2" w:rsidP="00505D19">
            <w:r w:rsidRPr="00685D78">
              <w:t>Heterogeenisyyden huomio</w:t>
            </w:r>
            <w:r>
              <w:t>i</w:t>
            </w:r>
            <w:r w:rsidRPr="00685D78">
              <w:t>nti oppimisryhmien muodostamisessa</w:t>
            </w:r>
          </w:p>
        </w:tc>
        <w:tc>
          <w:tcPr>
            <w:tcW w:w="2626" w:type="dxa"/>
          </w:tcPr>
          <w:p w14:paraId="50520B42" w14:textId="77777777" w:rsidR="00F04DA2" w:rsidRPr="00685D78" w:rsidRDefault="00F04DA2" w:rsidP="00505D19">
            <w:r w:rsidRPr="00685D78">
              <w:t>Opetushenkilöstö huolehtii, että pari- ja ryhmätehtävien ryhmät muodostetaan niin, että oppilaat työskentelevät myös oman läheisimmän viiteryhmänsä ulkopuolisten oppilaiden kanssa. Sukupuolen moninaisuuden huomioon ottaminen on tärke</w:t>
            </w:r>
            <w:r>
              <w:t>ä</w:t>
            </w:r>
            <w:r w:rsidRPr="00685D78">
              <w:t>ssä osassa opiskeluryhmiä muodostettaessa.</w:t>
            </w:r>
          </w:p>
        </w:tc>
        <w:tc>
          <w:tcPr>
            <w:tcW w:w="2533" w:type="dxa"/>
          </w:tcPr>
          <w:p w14:paraId="7686BCBD" w14:textId="77777777" w:rsidR="00F04DA2" w:rsidRDefault="00F04DA2" w:rsidP="00505D19">
            <w:r>
              <w:t>Opetushenkilöstö</w:t>
            </w:r>
          </w:p>
        </w:tc>
        <w:tc>
          <w:tcPr>
            <w:tcW w:w="1508" w:type="dxa"/>
          </w:tcPr>
          <w:p w14:paraId="2A038FBB" w14:textId="77777777" w:rsidR="00F04DA2" w:rsidRDefault="00F04DA2" w:rsidP="00505D19">
            <w:r>
              <w:t>koko lukuvuosi</w:t>
            </w:r>
          </w:p>
        </w:tc>
        <w:tc>
          <w:tcPr>
            <w:tcW w:w="2404" w:type="dxa"/>
          </w:tcPr>
          <w:p w14:paraId="65ADB027" w14:textId="77777777" w:rsidR="00F04DA2" w:rsidRPr="00685D78" w:rsidRDefault="00F04DA2" w:rsidP="00505D19"/>
        </w:tc>
        <w:tc>
          <w:tcPr>
            <w:tcW w:w="2011" w:type="dxa"/>
          </w:tcPr>
          <w:p w14:paraId="534BC359" w14:textId="77777777" w:rsidR="00F04DA2" w:rsidRPr="00685D78" w:rsidRDefault="00F04DA2" w:rsidP="00505D19">
            <w:r w:rsidRPr="00685D78">
              <w:t>Opetushenkilöstön itsearviointi</w:t>
            </w:r>
          </w:p>
        </w:tc>
      </w:tr>
    </w:tbl>
    <w:p w14:paraId="6564A927" w14:textId="77777777" w:rsidR="00F04DA2" w:rsidRDefault="00F04DA2"/>
    <w:tbl>
      <w:tblPr>
        <w:tblW w:w="0" w:type="auto"/>
        <w:tblInd w:w="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</w:tblGrid>
      <w:tr w:rsidR="00F62ACF" w:rsidRPr="00685D78" w14:paraId="3153D6A8" w14:textId="77777777" w:rsidTr="00F62ACF">
        <w:tc>
          <w:tcPr>
            <w:tcW w:w="0" w:type="auto"/>
            <w:shd w:val="clear" w:color="auto" w:fill="FFFFFF"/>
            <w:vAlign w:val="center"/>
            <w:hideMark/>
          </w:tcPr>
          <w:p w14:paraId="0DE550A7" w14:textId="77777777" w:rsidR="00F62ACF" w:rsidRPr="00685D78" w:rsidRDefault="00F62ACF" w:rsidP="00685D78"/>
        </w:tc>
      </w:tr>
    </w:tbl>
    <w:p w14:paraId="4E5F17D9" w14:textId="77777777" w:rsidR="00685D78" w:rsidRDefault="00685D78"/>
    <w:sectPr w:rsidR="00685D78" w:rsidSect="00F62AC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D78"/>
    <w:rsid w:val="000B1058"/>
    <w:rsid w:val="0021698F"/>
    <w:rsid w:val="004D41EC"/>
    <w:rsid w:val="005E660B"/>
    <w:rsid w:val="00685D78"/>
    <w:rsid w:val="0085035C"/>
    <w:rsid w:val="00C026D6"/>
    <w:rsid w:val="00CA3002"/>
    <w:rsid w:val="00ED1B8B"/>
    <w:rsid w:val="00F04DA2"/>
    <w:rsid w:val="00F62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402AB"/>
  <w15:chartTrackingRefBased/>
  <w15:docId w15:val="{293EFB47-DDF7-4025-A13B-E29309923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685D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685D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685D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685D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685D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85D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85D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85D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85D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685D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685D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685D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685D78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685D78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685D78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85D78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85D78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85D78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685D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85D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685D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685D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685D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685D78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685D78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685D78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685D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85D78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685D78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685D78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685D78"/>
    <w:rPr>
      <w:color w:val="605E5C"/>
      <w:shd w:val="clear" w:color="auto" w:fill="E1DFDD"/>
    </w:rPr>
  </w:style>
  <w:style w:type="table" w:styleId="TaulukkoRuudukko">
    <w:name w:val="Table Grid"/>
    <w:basedOn w:val="Normaalitaulukko"/>
    <w:uiPriority w:val="39"/>
    <w:rsid w:val="00685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oph.fi/fi/tilastot-ja-julkaisut/julkaisut/tasa-arvotyo-taitolaj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308</Words>
  <Characters>2498</Characters>
  <Application>Microsoft Office Word</Application>
  <DocSecurity>0</DocSecurity>
  <Lines>20</Lines>
  <Paragraphs>5</Paragraphs>
  <ScaleCrop>false</ScaleCrop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Kananen Paula</dc:creator>
  <cp:keywords/>
  <dc:description/>
  <cp:lastModifiedBy>Kananen Paula</cp:lastModifiedBy>
  <cp:revision>6</cp:revision>
  <dcterms:created xsi:type="dcterms:W3CDTF">2025-08-27T05:42:00Z</dcterms:created>
  <dcterms:modified xsi:type="dcterms:W3CDTF">2025-09-12T07:40:00Z</dcterms:modified>
</cp:coreProperties>
</file>