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AAA01" w14:textId="5D6D4CA6" w:rsidR="00B31049" w:rsidRDefault="003772D7">
      <w:pPr>
        <w:rPr>
          <w:b/>
          <w:bCs/>
          <w:sz w:val="28"/>
          <w:szCs w:val="28"/>
        </w:rPr>
      </w:pPr>
      <w:r w:rsidRPr="003772D7">
        <w:rPr>
          <w:b/>
          <w:bCs/>
          <w:sz w:val="28"/>
          <w:szCs w:val="28"/>
        </w:rPr>
        <w:t>Asuntosijoittaminen, uudisrakentaminen ja korot</w:t>
      </w:r>
    </w:p>
    <w:p w14:paraId="45227637" w14:textId="4268572E" w:rsidR="003772D7" w:rsidRDefault="003772D7">
      <w:pPr>
        <w:rPr>
          <w:sz w:val="24"/>
          <w:szCs w:val="24"/>
        </w:rPr>
      </w:pPr>
      <w:r>
        <w:rPr>
          <w:sz w:val="24"/>
          <w:szCs w:val="24"/>
        </w:rPr>
        <w:t xml:space="preserve">Alla on kaksi kuviota. Ensimmäinen kuvastaa asuntotuotantoa Suomessa. Se kertoo, kuinka monta uutta rakennushanketta käynnistettiin </w:t>
      </w:r>
      <w:r w:rsidR="00CA5B15">
        <w:rPr>
          <w:sz w:val="24"/>
          <w:szCs w:val="24"/>
        </w:rPr>
        <w:t>vuosittain</w:t>
      </w:r>
      <w:r>
        <w:rPr>
          <w:sz w:val="24"/>
          <w:szCs w:val="24"/>
        </w:rPr>
        <w:t xml:space="preserve"> (asuntoja yhteensä). Toisessa kuviossa näkyy 12 kk euribor</w:t>
      </w:r>
      <w:r w:rsidR="0080532F">
        <w:rPr>
          <w:sz w:val="24"/>
          <w:szCs w:val="24"/>
        </w:rPr>
        <w:t>-</w:t>
      </w:r>
      <w:r>
        <w:rPr>
          <w:sz w:val="24"/>
          <w:szCs w:val="24"/>
        </w:rPr>
        <w:t xml:space="preserve">korkojen kehitys. </w:t>
      </w:r>
    </w:p>
    <w:p w14:paraId="3F36017E" w14:textId="34E029FC" w:rsidR="003772D7" w:rsidRDefault="00CA5B15">
      <w:pPr>
        <w:rPr>
          <w:sz w:val="24"/>
          <w:szCs w:val="24"/>
        </w:rPr>
      </w:pPr>
      <w:r>
        <w:rPr>
          <w:sz w:val="24"/>
          <w:szCs w:val="24"/>
        </w:rPr>
        <w:t>Tee kuvioista olennaisimmat havainnot</w:t>
      </w:r>
      <w:r w:rsidR="00FE1A8A">
        <w:rPr>
          <w:sz w:val="24"/>
          <w:szCs w:val="24"/>
        </w:rPr>
        <w:t xml:space="preserve">. </w:t>
      </w:r>
      <w:r w:rsidR="003772D7">
        <w:rPr>
          <w:sz w:val="24"/>
          <w:szCs w:val="24"/>
        </w:rPr>
        <w:t>Pohdi, miten asuinrakennusten tuotanto ja euribor-korot vaikuttavat asuntosijoittamisen tuottoihin ja vuokramarkkinoihin Suomessa.</w:t>
      </w:r>
    </w:p>
    <w:p w14:paraId="722860F6" w14:textId="77777777" w:rsidR="00FE1A8A" w:rsidRDefault="00FE1A8A">
      <w:pPr>
        <w:rPr>
          <w:sz w:val="24"/>
          <w:szCs w:val="24"/>
        </w:rPr>
      </w:pPr>
    </w:p>
    <w:p w14:paraId="7998258F" w14:textId="70338913" w:rsidR="003772D7" w:rsidRDefault="00FC411E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0B5915A6" wp14:editId="3953EA47">
            <wp:extent cx="5486400" cy="3200400"/>
            <wp:effectExtent l="0" t="0" r="0" b="0"/>
            <wp:docPr id="2" name="Kaavi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041E9185" w14:textId="05E48FE1" w:rsidR="00A4566E" w:rsidRDefault="00A4566E">
      <w:pPr>
        <w:rPr>
          <w:sz w:val="24"/>
          <w:szCs w:val="24"/>
        </w:rPr>
      </w:pPr>
    </w:p>
    <w:p w14:paraId="4B8B0150" w14:textId="3AFFE1D7" w:rsidR="00A4566E" w:rsidRPr="003772D7" w:rsidRDefault="00A4566E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0587D8D7" wp14:editId="5FDFEB59">
            <wp:extent cx="5486400" cy="3200400"/>
            <wp:effectExtent l="0" t="0" r="0" b="0"/>
            <wp:docPr id="3" name="Kaavi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A4566E" w:rsidRPr="003772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2D7"/>
    <w:rsid w:val="00051240"/>
    <w:rsid w:val="000929D4"/>
    <w:rsid w:val="002264A3"/>
    <w:rsid w:val="00304648"/>
    <w:rsid w:val="003772D7"/>
    <w:rsid w:val="00380ABC"/>
    <w:rsid w:val="004972C2"/>
    <w:rsid w:val="005D1643"/>
    <w:rsid w:val="007119C7"/>
    <w:rsid w:val="0080532F"/>
    <w:rsid w:val="00914F4C"/>
    <w:rsid w:val="00A4566E"/>
    <w:rsid w:val="00B31049"/>
    <w:rsid w:val="00B554DC"/>
    <w:rsid w:val="00B9093E"/>
    <w:rsid w:val="00CA5B15"/>
    <w:rsid w:val="00FC411E"/>
    <w:rsid w:val="00FE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8B96A"/>
  <w15:chartTrackingRefBased/>
  <w15:docId w15:val="{8EB0B28F-C44A-4596-8212-0266F9A55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link w:val="EivliChar"/>
    <w:uiPriority w:val="1"/>
    <w:qFormat/>
    <w:rsid w:val="00FE1A8A"/>
    <w:pPr>
      <w:spacing w:after="0" w:line="240" w:lineRule="auto"/>
    </w:pPr>
    <w:rPr>
      <w:rFonts w:eastAsiaTheme="minorEastAsia"/>
      <w:kern w:val="0"/>
      <w:lang w:eastAsia="fi-FI"/>
      <w14:ligatures w14:val="none"/>
    </w:rPr>
  </w:style>
  <w:style w:type="character" w:customStyle="1" w:styleId="EivliChar">
    <w:name w:val="Ei väliä Char"/>
    <w:basedOn w:val="Kappaleenoletusfontti"/>
    <w:link w:val="Eivli"/>
    <w:uiPriority w:val="1"/>
    <w:rsid w:val="00FE1A8A"/>
    <w:rPr>
      <w:rFonts w:eastAsiaTheme="minorEastAsia"/>
      <w:kern w:val="0"/>
      <w:lang w:eastAsia="fi-FI"/>
      <w14:ligatures w14:val="none"/>
    </w:rPr>
  </w:style>
  <w:style w:type="table" w:styleId="TaulukkoRuudukko">
    <w:name w:val="Table Grid"/>
    <w:basedOn w:val="Normaalitaulukko"/>
    <w:uiPriority w:val="39"/>
    <w:rsid w:val="00A45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i-F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fi-FI" sz="1200" b="1">
                <a:solidFill>
                  <a:sysClr val="windowText" lastClr="000000"/>
                </a:solidFill>
              </a:rPr>
              <a:t>Vuosittain</a:t>
            </a:r>
            <a:r>
              <a:rPr lang="fi-FI" sz="1200" b="1" baseline="0">
                <a:solidFill>
                  <a:sysClr val="windowText" lastClr="000000"/>
                </a:solidFill>
              </a:rPr>
              <a:t> a</a:t>
            </a:r>
            <a:r>
              <a:rPr lang="fi-FI" sz="1200" b="1">
                <a:solidFill>
                  <a:sysClr val="windowText" lastClr="000000"/>
                </a:solidFill>
              </a:rPr>
              <a:t>loitetut asuntojen rakennushankkeet 2007</a:t>
            </a:r>
            <a:r>
              <a:rPr lang="fi-FI" sz="1200" b="1" i="0" u="none" strike="noStrike" baseline="0">
                <a:solidFill>
                  <a:sysClr val="windowText" lastClr="000000"/>
                </a:solidFill>
                <a:effectLst/>
              </a:rPr>
              <a:t>–</a:t>
            </a:r>
            <a:r>
              <a:rPr lang="fi-FI" sz="1200" b="1">
                <a:solidFill>
                  <a:sysClr val="windowText" lastClr="000000"/>
                </a:solidFill>
              </a:rPr>
              <a:t>2022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fi-FI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Taul1!$B$1</c:f>
              <c:strCache>
                <c:ptCount val="1"/>
                <c:pt idx="0">
                  <c:v>Asunnot (kpl)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ln>
              <a:noFill/>
            </a:ln>
            <a:effectLst/>
          </c:spPr>
          <c:invertIfNegative val="0"/>
          <c:cat>
            <c:numRef>
              <c:f>Taul1!$A$2:$A$17</c:f>
              <c:numCache>
                <c:formatCode>General</c:formatCode>
                <c:ptCount val="16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  <c:pt idx="10">
                  <c:v>2017</c:v>
                </c:pt>
                <c:pt idx="11">
                  <c:v>2018</c:v>
                </c:pt>
                <c:pt idx="12">
                  <c:v>2019</c:v>
                </c:pt>
                <c:pt idx="13">
                  <c:v>2020</c:v>
                </c:pt>
                <c:pt idx="14">
                  <c:v>2021</c:v>
                </c:pt>
                <c:pt idx="15">
                  <c:v>2022</c:v>
                </c:pt>
              </c:numCache>
            </c:numRef>
          </c:cat>
          <c:val>
            <c:numRef>
              <c:f>Taul1!$B$2:$B$17</c:f>
              <c:numCache>
                <c:formatCode>0</c:formatCode>
                <c:ptCount val="16"/>
                <c:pt idx="0">
                  <c:v>32654</c:v>
                </c:pt>
                <c:pt idx="1">
                  <c:v>23712</c:v>
                </c:pt>
                <c:pt idx="2">
                  <c:v>23843</c:v>
                </c:pt>
                <c:pt idx="3">
                  <c:v>34253</c:v>
                </c:pt>
                <c:pt idx="4">
                  <c:v>33461</c:v>
                </c:pt>
                <c:pt idx="5">
                  <c:v>30767</c:v>
                </c:pt>
                <c:pt idx="6">
                  <c:v>28071</c:v>
                </c:pt>
                <c:pt idx="7">
                  <c:v>25203</c:v>
                </c:pt>
                <c:pt idx="8">
                  <c:v>32142</c:v>
                </c:pt>
                <c:pt idx="9">
                  <c:v>36961</c:v>
                </c:pt>
                <c:pt idx="10">
                  <c:v>44294</c:v>
                </c:pt>
                <c:pt idx="11">
                  <c:v>43900</c:v>
                </c:pt>
                <c:pt idx="12">
                  <c:v>36505</c:v>
                </c:pt>
                <c:pt idx="13">
                  <c:v>39035</c:v>
                </c:pt>
                <c:pt idx="14">
                  <c:v>47104</c:v>
                </c:pt>
                <c:pt idx="15">
                  <c:v>36252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8DD-4997-9D0E-8DCA923603A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4"/>
        <c:axId val="458387088"/>
        <c:axId val="458386104"/>
      </c:barChart>
      <c:lineChart>
        <c:grouping val="standard"/>
        <c:varyColors val="0"/>
        <c:ser>
          <c:idx val="1"/>
          <c:order val="1"/>
          <c:tx>
            <c:strRef>
              <c:f>Taul1!$C$1</c:f>
              <c:strCache>
                <c:ptCount val="1"/>
                <c:pt idx="0">
                  <c:v>Kerrosala (m2)</c:v>
                </c:pt>
              </c:strCache>
            </c:strRef>
          </c:tx>
          <c:spPr>
            <a:ln w="28575" cap="rnd">
              <a:solidFill>
                <a:schemeClr val="accent1">
                  <a:lumMod val="5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Taul1!$A$2:$A$17</c:f>
              <c:numCache>
                <c:formatCode>General</c:formatCode>
                <c:ptCount val="16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  <c:pt idx="10">
                  <c:v>2017</c:v>
                </c:pt>
                <c:pt idx="11">
                  <c:v>2018</c:v>
                </c:pt>
                <c:pt idx="12">
                  <c:v>2019</c:v>
                </c:pt>
                <c:pt idx="13">
                  <c:v>2020</c:v>
                </c:pt>
                <c:pt idx="14">
                  <c:v>2021</c:v>
                </c:pt>
                <c:pt idx="15">
                  <c:v>2022</c:v>
                </c:pt>
              </c:numCache>
            </c:numRef>
          </c:cat>
          <c:val>
            <c:numRef>
              <c:f>Taul1!$C$2:$C$17</c:f>
              <c:numCache>
                <c:formatCode>0</c:formatCode>
                <c:ptCount val="16"/>
                <c:pt idx="0">
                  <c:v>4315087</c:v>
                </c:pt>
                <c:pt idx="1">
                  <c:v>3257093</c:v>
                </c:pt>
                <c:pt idx="2">
                  <c:v>2954765</c:v>
                </c:pt>
                <c:pt idx="3">
                  <c:v>4089120</c:v>
                </c:pt>
                <c:pt idx="4">
                  <c:v>3922986</c:v>
                </c:pt>
                <c:pt idx="5">
                  <c:v>3551515</c:v>
                </c:pt>
                <c:pt idx="6">
                  <c:v>3199536</c:v>
                </c:pt>
                <c:pt idx="7">
                  <c:v>2764351</c:v>
                </c:pt>
                <c:pt idx="8">
                  <c:v>3073022</c:v>
                </c:pt>
                <c:pt idx="9">
                  <c:v>3268834</c:v>
                </c:pt>
                <c:pt idx="10">
                  <c:v>3760599</c:v>
                </c:pt>
                <c:pt idx="11">
                  <c:v>3676834</c:v>
                </c:pt>
                <c:pt idx="12">
                  <c:v>3222195</c:v>
                </c:pt>
                <c:pt idx="13">
                  <c:v>3390845</c:v>
                </c:pt>
                <c:pt idx="14">
                  <c:v>4050105</c:v>
                </c:pt>
                <c:pt idx="15">
                  <c:v>3180282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8DD-4997-9D0E-8DCA923603A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58388728"/>
        <c:axId val="458388400"/>
      </c:lineChart>
      <c:catAx>
        <c:axId val="4583870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i-FI"/>
          </a:p>
        </c:txPr>
        <c:crossAx val="458386104"/>
        <c:crosses val="autoZero"/>
        <c:auto val="1"/>
        <c:lblAlgn val="ctr"/>
        <c:lblOffset val="100"/>
        <c:noMultiLvlLbl val="0"/>
      </c:catAx>
      <c:valAx>
        <c:axId val="4583861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fi-FI"/>
          </a:p>
        </c:txPr>
        <c:crossAx val="458387088"/>
        <c:crosses val="autoZero"/>
        <c:crossBetween val="between"/>
      </c:valAx>
      <c:valAx>
        <c:axId val="458388400"/>
        <c:scaling>
          <c:orientation val="minMax"/>
        </c:scaling>
        <c:delete val="0"/>
        <c:axPos val="r"/>
        <c:numFmt formatCode="#,##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accent1">
                    <a:lumMod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i-FI"/>
          </a:p>
        </c:txPr>
        <c:crossAx val="458388728"/>
        <c:crosses val="max"/>
        <c:crossBetween val="between"/>
      </c:valAx>
      <c:catAx>
        <c:axId val="45838872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5838840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i-FI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fi-FI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i-F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3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i-FI" sz="1300" b="1"/>
              <a:t>12</a:t>
            </a:r>
            <a:r>
              <a:rPr lang="fi-FI" sz="1300" b="1" baseline="0"/>
              <a:t> kk:n euribor-korko 15.1.2015</a:t>
            </a:r>
            <a:r>
              <a:rPr lang="fi-FI" sz="1300" b="1" i="0" u="none" strike="noStrike" baseline="0">
                <a:effectLst/>
              </a:rPr>
              <a:t>–31.1.</a:t>
            </a:r>
            <a:r>
              <a:rPr lang="fi-FI" sz="1300" b="1" baseline="0"/>
              <a:t>2023 </a:t>
            </a:r>
            <a:endParaRPr lang="fi-FI" sz="1300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i-FI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Taul1!$B$1</c:f>
              <c:strCache>
                <c:ptCount val="1"/>
                <c:pt idx="0">
                  <c:v>Euribor 12 kk</c:v>
                </c:pt>
              </c:strCache>
            </c:strRef>
          </c:tx>
          <c:spPr>
            <a:ln w="28575" cap="rnd">
              <a:solidFill>
                <a:schemeClr val="accent2">
                  <a:lumMod val="5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Taul1!$A$2:$A$98</c:f>
              <c:numCache>
                <c:formatCode>m/d/yyyy</c:formatCode>
                <c:ptCount val="97"/>
                <c:pt idx="0">
                  <c:v>44941</c:v>
                </c:pt>
                <c:pt idx="1">
                  <c:v>44910</c:v>
                </c:pt>
                <c:pt idx="2">
                  <c:v>44880</c:v>
                </c:pt>
                <c:pt idx="3">
                  <c:v>44849</c:v>
                </c:pt>
                <c:pt idx="4">
                  <c:v>44819</c:v>
                </c:pt>
                <c:pt idx="5">
                  <c:v>44788</c:v>
                </c:pt>
                <c:pt idx="6">
                  <c:v>44757</c:v>
                </c:pt>
                <c:pt idx="7">
                  <c:v>44727</c:v>
                </c:pt>
                <c:pt idx="8">
                  <c:v>44696</c:v>
                </c:pt>
                <c:pt idx="9">
                  <c:v>44666</c:v>
                </c:pt>
                <c:pt idx="10">
                  <c:v>44635</c:v>
                </c:pt>
                <c:pt idx="11">
                  <c:v>44607</c:v>
                </c:pt>
                <c:pt idx="12">
                  <c:v>44576</c:v>
                </c:pt>
                <c:pt idx="13">
                  <c:v>44545</c:v>
                </c:pt>
                <c:pt idx="14">
                  <c:v>44515</c:v>
                </c:pt>
                <c:pt idx="15">
                  <c:v>44484</c:v>
                </c:pt>
                <c:pt idx="16">
                  <c:v>44454</c:v>
                </c:pt>
                <c:pt idx="17">
                  <c:v>44423</c:v>
                </c:pt>
                <c:pt idx="18">
                  <c:v>44392</c:v>
                </c:pt>
                <c:pt idx="19">
                  <c:v>44362</c:v>
                </c:pt>
                <c:pt idx="20">
                  <c:v>44331</c:v>
                </c:pt>
                <c:pt idx="21">
                  <c:v>44301</c:v>
                </c:pt>
                <c:pt idx="22">
                  <c:v>44270</c:v>
                </c:pt>
                <c:pt idx="23">
                  <c:v>44242</c:v>
                </c:pt>
                <c:pt idx="24">
                  <c:v>44211</c:v>
                </c:pt>
                <c:pt idx="25">
                  <c:v>44180</c:v>
                </c:pt>
                <c:pt idx="26">
                  <c:v>44150</c:v>
                </c:pt>
                <c:pt idx="27">
                  <c:v>44119</c:v>
                </c:pt>
                <c:pt idx="28">
                  <c:v>44089</c:v>
                </c:pt>
                <c:pt idx="29">
                  <c:v>44058</c:v>
                </c:pt>
                <c:pt idx="30">
                  <c:v>44027</c:v>
                </c:pt>
                <c:pt idx="31">
                  <c:v>43997</c:v>
                </c:pt>
                <c:pt idx="32">
                  <c:v>43966</c:v>
                </c:pt>
                <c:pt idx="33">
                  <c:v>43936</c:v>
                </c:pt>
                <c:pt idx="34">
                  <c:v>43905</c:v>
                </c:pt>
                <c:pt idx="35">
                  <c:v>43876</c:v>
                </c:pt>
                <c:pt idx="36">
                  <c:v>43845</c:v>
                </c:pt>
                <c:pt idx="37">
                  <c:v>43814</c:v>
                </c:pt>
                <c:pt idx="38">
                  <c:v>43784</c:v>
                </c:pt>
                <c:pt idx="39">
                  <c:v>43753</c:v>
                </c:pt>
                <c:pt idx="40">
                  <c:v>43723</c:v>
                </c:pt>
                <c:pt idx="41">
                  <c:v>43692</c:v>
                </c:pt>
                <c:pt idx="42">
                  <c:v>43661</c:v>
                </c:pt>
                <c:pt idx="43">
                  <c:v>43631</c:v>
                </c:pt>
                <c:pt idx="44">
                  <c:v>43600</c:v>
                </c:pt>
                <c:pt idx="45">
                  <c:v>43570</c:v>
                </c:pt>
                <c:pt idx="46">
                  <c:v>43539</c:v>
                </c:pt>
                <c:pt idx="47">
                  <c:v>43511</c:v>
                </c:pt>
                <c:pt idx="48">
                  <c:v>43480</c:v>
                </c:pt>
                <c:pt idx="49">
                  <c:v>43449</c:v>
                </c:pt>
                <c:pt idx="50">
                  <c:v>43419</c:v>
                </c:pt>
                <c:pt idx="51">
                  <c:v>43388</c:v>
                </c:pt>
                <c:pt idx="52">
                  <c:v>43358</c:v>
                </c:pt>
                <c:pt idx="53">
                  <c:v>43327</c:v>
                </c:pt>
                <c:pt idx="54">
                  <c:v>43296</c:v>
                </c:pt>
                <c:pt idx="55">
                  <c:v>43266</c:v>
                </c:pt>
                <c:pt idx="56">
                  <c:v>43235</c:v>
                </c:pt>
                <c:pt idx="57">
                  <c:v>43205</c:v>
                </c:pt>
                <c:pt idx="58">
                  <c:v>43174</c:v>
                </c:pt>
                <c:pt idx="59">
                  <c:v>43146</c:v>
                </c:pt>
                <c:pt idx="60">
                  <c:v>43115</c:v>
                </c:pt>
                <c:pt idx="61">
                  <c:v>43084</c:v>
                </c:pt>
                <c:pt idx="62">
                  <c:v>43054</c:v>
                </c:pt>
                <c:pt idx="63">
                  <c:v>43023</c:v>
                </c:pt>
                <c:pt idx="64">
                  <c:v>42993</c:v>
                </c:pt>
                <c:pt idx="65">
                  <c:v>42962</c:v>
                </c:pt>
                <c:pt idx="66">
                  <c:v>42931</c:v>
                </c:pt>
                <c:pt idx="67">
                  <c:v>42901</c:v>
                </c:pt>
                <c:pt idx="68">
                  <c:v>42870</c:v>
                </c:pt>
                <c:pt idx="69">
                  <c:v>42840</c:v>
                </c:pt>
                <c:pt idx="70">
                  <c:v>42809</c:v>
                </c:pt>
                <c:pt idx="71">
                  <c:v>42781</c:v>
                </c:pt>
                <c:pt idx="72">
                  <c:v>42750</c:v>
                </c:pt>
                <c:pt idx="73">
                  <c:v>42719</c:v>
                </c:pt>
                <c:pt idx="74">
                  <c:v>42689</c:v>
                </c:pt>
                <c:pt idx="75">
                  <c:v>42658</c:v>
                </c:pt>
                <c:pt idx="76">
                  <c:v>42628</c:v>
                </c:pt>
                <c:pt idx="77">
                  <c:v>42597</c:v>
                </c:pt>
                <c:pt idx="78">
                  <c:v>42566</c:v>
                </c:pt>
                <c:pt idx="79">
                  <c:v>42536</c:v>
                </c:pt>
                <c:pt idx="80">
                  <c:v>42505</c:v>
                </c:pt>
                <c:pt idx="81">
                  <c:v>42475</c:v>
                </c:pt>
                <c:pt idx="82">
                  <c:v>42444</c:v>
                </c:pt>
                <c:pt idx="83">
                  <c:v>42415</c:v>
                </c:pt>
                <c:pt idx="84">
                  <c:v>42384</c:v>
                </c:pt>
                <c:pt idx="85">
                  <c:v>42353</c:v>
                </c:pt>
                <c:pt idx="86">
                  <c:v>42323</c:v>
                </c:pt>
                <c:pt idx="87">
                  <c:v>42292</c:v>
                </c:pt>
                <c:pt idx="88">
                  <c:v>42262</c:v>
                </c:pt>
                <c:pt idx="89">
                  <c:v>42231</c:v>
                </c:pt>
                <c:pt idx="90">
                  <c:v>42200</c:v>
                </c:pt>
                <c:pt idx="91">
                  <c:v>42170</c:v>
                </c:pt>
                <c:pt idx="92">
                  <c:v>42139</c:v>
                </c:pt>
                <c:pt idx="93">
                  <c:v>42109</c:v>
                </c:pt>
                <c:pt idx="94">
                  <c:v>42078</c:v>
                </c:pt>
                <c:pt idx="95">
                  <c:v>42050</c:v>
                </c:pt>
                <c:pt idx="96">
                  <c:v>42019</c:v>
                </c:pt>
              </c:numCache>
            </c:numRef>
          </c:cat>
          <c:val>
            <c:numRef>
              <c:f>Taul1!$B$2:$B$98</c:f>
              <c:numCache>
                <c:formatCode>General</c:formatCode>
                <c:ptCount val="97"/>
                <c:pt idx="0">
                  <c:v>3.4129999999999998</c:v>
                </c:pt>
                <c:pt idx="1">
                  <c:v>3.2909999999999999</c:v>
                </c:pt>
                <c:pt idx="2">
                  <c:v>2.83</c:v>
                </c:pt>
                <c:pt idx="3">
                  <c:v>2.63</c:v>
                </c:pt>
                <c:pt idx="4">
                  <c:v>2.556</c:v>
                </c:pt>
                <c:pt idx="5">
                  <c:v>1.778</c:v>
                </c:pt>
                <c:pt idx="6">
                  <c:v>0.92100000000000004</c:v>
                </c:pt>
                <c:pt idx="7">
                  <c:v>1.0369999999999999</c:v>
                </c:pt>
                <c:pt idx="8">
                  <c:v>0.39</c:v>
                </c:pt>
                <c:pt idx="9">
                  <c:v>0.16600000000000001</c:v>
                </c:pt>
                <c:pt idx="10">
                  <c:v>-7.2999999999999995E-2</c:v>
                </c:pt>
                <c:pt idx="11">
                  <c:v>-0.34899999999999998</c:v>
                </c:pt>
                <c:pt idx="12">
                  <c:v>-0.45300000000000001</c:v>
                </c:pt>
                <c:pt idx="13">
                  <c:v>-0.501</c:v>
                </c:pt>
                <c:pt idx="14">
                  <c:v>-0.505</c:v>
                </c:pt>
                <c:pt idx="15">
                  <c:v>-0.45500000000000002</c:v>
                </c:pt>
                <c:pt idx="16">
                  <c:v>-0.48799999999999999</c:v>
                </c:pt>
                <c:pt idx="17">
                  <c:v>-0.501</c:v>
                </c:pt>
                <c:pt idx="18">
                  <c:v>-0.502</c:v>
                </c:pt>
                <c:pt idx="19">
                  <c:v>-0.48299999999999998</c:v>
                </c:pt>
                <c:pt idx="20">
                  <c:v>-0.48299999999999998</c:v>
                </c:pt>
                <c:pt idx="21">
                  <c:v>-0.48099999999999998</c:v>
                </c:pt>
                <c:pt idx="22">
                  <c:v>-0.48399999999999999</c:v>
                </c:pt>
                <c:pt idx="23">
                  <c:v>-0.48299999999999998</c:v>
                </c:pt>
                <c:pt idx="24">
                  <c:v>-0.51200000000000001</c:v>
                </c:pt>
                <c:pt idx="25">
                  <c:v>-0.499</c:v>
                </c:pt>
                <c:pt idx="26">
                  <c:v>-0.48699999999999999</c:v>
                </c:pt>
                <c:pt idx="27">
                  <c:v>-0.48899999999999999</c:v>
                </c:pt>
                <c:pt idx="28">
                  <c:v>-0.443</c:v>
                </c:pt>
                <c:pt idx="29">
                  <c:v>-0.38300000000000001</c:v>
                </c:pt>
                <c:pt idx="30">
                  <c:v>-0.33300000000000002</c:v>
                </c:pt>
                <c:pt idx="31">
                  <c:v>-0.22500000000000001</c:v>
                </c:pt>
                <c:pt idx="32">
                  <c:v>-8.5000000000000006E-2</c:v>
                </c:pt>
                <c:pt idx="33">
                  <c:v>-0.11799999999999999</c:v>
                </c:pt>
                <c:pt idx="34">
                  <c:v>-0.17100000000000001</c:v>
                </c:pt>
                <c:pt idx="35">
                  <c:v>-0.311</c:v>
                </c:pt>
                <c:pt idx="36">
                  <c:v>-0.28399999999999997</c:v>
                </c:pt>
                <c:pt idx="37">
                  <c:v>-0.249</c:v>
                </c:pt>
                <c:pt idx="38">
                  <c:v>-0.27300000000000002</c:v>
                </c:pt>
                <c:pt idx="39">
                  <c:v>-0.27300000000000002</c:v>
                </c:pt>
                <c:pt idx="40">
                  <c:v>-0.33</c:v>
                </c:pt>
                <c:pt idx="41">
                  <c:v>-0.38300000000000001</c:v>
                </c:pt>
                <c:pt idx="42">
                  <c:v>-0.30299999999999999</c:v>
                </c:pt>
                <c:pt idx="43">
                  <c:v>-0.214</c:v>
                </c:pt>
                <c:pt idx="44">
                  <c:v>-0.16800000000000001</c:v>
                </c:pt>
                <c:pt idx="45">
                  <c:v>-0.114</c:v>
                </c:pt>
                <c:pt idx="46">
                  <c:v>-0.112</c:v>
                </c:pt>
                <c:pt idx="47">
                  <c:v>-0.108</c:v>
                </c:pt>
                <c:pt idx="48">
                  <c:v>-0.109</c:v>
                </c:pt>
                <c:pt idx="49">
                  <c:v>-0.11700000000000001</c:v>
                </c:pt>
                <c:pt idx="50">
                  <c:v>-0.14599999999999999</c:v>
                </c:pt>
                <c:pt idx="51">
                  <c:v>-0.14899999999999999</c:v>
                </c:pt>
                <c:pt idx="52">
                  <c:v>-0.159</c:v>
                </c:pt>
                <c:pt idx="53">
                  <c:v>-0.16600000000000001</c:v>
                </c:pt>
                <c:pt idx="54">
                  <c:v>-0.17799999999999999</c:v>
                </c:pt>
                <c:pt idx="55">
                  <c:v>-0.18099999999999999</c:v>
                </c:pt>
                <c:pt idx="56">
                  <c:v>-0.184</c:v>
                </c:pt>
                <c:pt idx="57">
                  <c:v>-0.189</c:v>
                </c:pt>
                <c:pt idx="58">
                  <c:v>-0.19</c:v>
                </c:pt>
                <c:pt idx="59">
                  <c:v>-0.191</c:v>
                </c:pt>
                <c:pt idx="60">
                  <c:v>-0.191</c:v>
                </c:pt>
                <c:pt idx="61">
                  <c:v>-0.186</c:v>
                </c:pt>
                <c:pt idx="62">
                  <c:v>-0.188</c:v>
                </c:pt>
                <c:pt idx="63">
                  <c:v>-0.185</c:v>
                </c:pt>
                <c:pt idx="64">
                  <c:v>-0.17199999999999999</c:v>
                </c:pt>
                <c:pt idx="65">
                  <c:v>-0.161</c:v>
                </c:pt>
                <c:pt idx="66">
                  <c:v>-0.151</c:v>
                </c:pt>
                <c:pt idx="67">
                  <c:v>-0.156</c:v>
                </c:pt>
                <c:pt idx="68">
                  <c:v>-0.13100000000000001</c:v>
                </c:pt>
                <c:pt idx="69">
                  <c:v>-0.121</c:v>
                </c:pt>
                <c:pt idx="70">
                  <c:v>-0.109</c:v>
                </c:pt>
                <c:pt idx="71">
                  <c:v>-0.114</c:v>
                </c:pt>
                <c:pt idx="72">
                  <c:v>-0.10100000000000001</c:v>
                </c:pt>
                <c:pt idx="73">
                  <c:v>-8.2000000000000003E-2</c:v>
                </c:pt>
                <c:pt idx="74">
                  <c:v>-0.08</c:v>
                </c:pt>
                <c:pt idx="75">
                  <c:v>-6.9000000000000006E-2</c:v>
                </c:pt>
                <c:pt idx="76">
                  <c:v>-5.1999999999999998E-2</c:v>
                </c:pt>
                <c:pt idx="77">
                  <c:v>-4.9000000000000002E-2</c:v>
                </c:pt>
                <c:pt idx="78">
                  <c:v>-5.0999999999999997E-2</c:v>
                </c:pt>
                <c:pt idx="79">
                  <c:v>-1.4999999999999999E-2</c:v>
                </c:pt>
                <c:pt idx="80">
                  <c:v>-1.2E-2</c:v>
                </c:pt>
                <c:pt idx="81">
                  <c:v>-5.0000000000000001E-3</c:v>
                </c:pt>
                <c:pt idx="82">
                  <c:v>-2.4E-2</c:v>
                </c:pt>
                <c:pt idx="83">
                  <c:v>1.4999999999999999E-2</c:v>
                </c:pt>
                <c:pt idx="84">
                  <c:v>4.8000000000000001E-2</c:v>
                </c:pt>
                <c:pt idx="85">
                  <c:v>0.06</c:v>
                </c:pt>
                <c:pt idx="86">
                  <c:v>4.8000000000000001E-2</c:v>
                </c:pt>
                <c:pt idx="87">
                  <c:v>0.107</c:v>
                </c:pt>
                <c:pt idx="88">
                  <c:v>0.14199999999999999</c:v>
                </c:pt>
                <c:pt idx="89">
                  <c:v>0.16</c:v>
                </c:pt>
                <c:pt idx="90">
                  <c:v>0.16700000000000001</c:v>
                </c:pt>
                <c:pt idx="91">
                  <c:v>0.16400000000000001</c:v>
                </c:pt>
                <c:pt idx="92">
                  <c:v>0.16</c:v>
                </c:pt>
                <c:pt idx="93">
                  <c:v>0.17100000000000001</c:v>
                </c:pt>
                <c:pt idx="94">
                  <c:v>0.19800000000000001</c:v>
                </c:pt>
                <c:pt idx="95">
                  <c:v>0.23300000000000001</c:v>
                </c:pt>
                <c:pt idx="96">
                  <c:v>0.27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0-8E64-48B4-B4B2-B8D020E715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35728256"/>
        <c:axId val="435731864"/>
      </c:lineChart>
      <c:dateAx>
        <c:axId val="43572825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yyyy" sourceLinked="0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i-FI"/>
          </a:p>
        </c:txPr>
        <c:crossAx val="435731864"/>
        <c:crosses val="autoZero"/>
        <c:auto val="0"/>
        <c:lblOffset val="100"/>
        <c:baseTimeUnit val="months"/>
        <c:majorUnit val="12"/>
        <c:majorTimeUnit val="months"/>
        <c:minorUnit val="12"/>
        <c:minorTimeUnit val="months"/>
      </c:dateAx>
      <c:valAx>
        <c:axId val="4357318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i-FI"/>
          </a:p>
        </c:txPr>
        <c:crossAx val="435728256"/>
        <c:crosses val="autoZero"/>
        <c:crossBetween val="between"/>
        <c:majorUnit val="1"/>
        <c:minorUnit val="0.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i-FI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fi-FI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0.00347</cdr:x>
      <cdr:y>0.02579</cdr:y>
    </cdr:from>
    <cdr:to>
      <cdr:x>0.09144</cdr:x>
      <cdr:y>0.19444</cdr:y>
    </cdr:to>
    <cdr:sp macro="" textlink="">
      <cdr:nvSpPr>
        <cdr:cNvPr id="2" name="Tekstiruutu 1"/>
        <cdr:cNvSpPr txBox="1"/>
      </cdr:nvSpPr>
      <cdr:spPr>
        <a:xfrm xmlns:a="http://schemas.openxmlformats.org/drawingml/2006/main">
          <a:off x="19050" y="82550"/>
          <a:ext cx="482600" cy="5397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r"/>
          <a:r>
            <a:rPr lang="fi-FI" sz="600"/>
            <a:t>asuntoja (kpl)</a:t>
          </a:r>
          <a:r>
            <a:rPr lang="fi-FI" sz="600" baseline="0"/>
            <a:t> </a:t>
          </a:r>
          <a:endParaRPr lang="fi-FI" sz="600"/>
        </a:p>
      </cdr:txBody>
    </cdr:sp>
  </cdr:relSizeAnchor>
  <cdr:relSizeAnchor xmlns:cdr="http://schemas.openxmlformats.org/drawingml/2006/chartDrawing">
    <cdr:from>
      <cdr:x>0.88657</cdr:x>
      <cdr:y>0.03175</cdr:y>
    </cdr:from>
    <cdr:to>
      <cdr:x>0.98958</cdr:x>
      <cdr:y>0.2004</cdr:y>
    </cdr:to>
    <cdr:sp macro="" textlink="">
      <cdr:nvSpPr>
        <cdr:cNvPr id="3" name="Tekstiruutu 1"/>
        <cdr:cNvSpPr txBox="1"/>
      </cdr:nvSpPr>
      <cdr:spPr>
        <a:xfrm xmlns:a="http://schemas.openxmlformats.org/drawingml/2006/main">
          <a:off x="4864100" y="101600"/>
          <a:ext cx="565150" cy="5397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fi-FI" sz="600"/>
            <a:t>kerrosala (m</a:t>
          </a:r>
          <a:r>
            <a:rPr lang="fi-FI" sz="600" baseline="30000"/>
            <a:t>2</a:t>
          </a:r>
          <a:r>
            <a:rPr lang="fi-FI" sz="600" baseline="0"/>
            <a:t>)</a:t>
          </a:r>
          <a:endParaRPr lang="fi-FI" sz="600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0.00231</cdr:x>
      <cdr:y>0.02778</cdr:y>
    </cdr:from>
    <cdr:to>
      <cdr:x>0.0868</cdr:x>
      <cdr:y>0.19643</cdr:y>
    </cdr:to>
    <cdr:sp macro="" textlink="">
      <cdr:nvSpPr>
        <cdr:cNvPr id="2" name="Tekstiruutu 1"/>
        <cdr:cNvSpPr txBox="1"/>
      </cdr:nvSpPr>
      <cdr:spPr>
        <a:xfrm xmlns:a="http://schemas.openxmlformats.org/drawingml/2006/main">
          <a:off x="12700" y="88903"/>
          <a:ext cx="463546" cy="53974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fi-FI" sz="700" b="0"/>
            <a:t>korko, %</a:t>
          </a:r>
        </a:p>
      </cdr:txBody>
    </cdr:sp>
  </cdr:relSizeAnchor>
</c:userShape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Holmström Timo</dc:creator>
  <cp:keywords/>
  <dc:description/>
  <cp:lastModifiedBy>Toni Uusimäki</cp:lastModifiedBy>
  <cp:revision>2</cp:revision>
  <dcterms:created xsi:type="dcterms:W3CDTF">2023-09-21T18:04:00Z</dcterms:created>
  <dcterms:modified xsi:type="dcterms:W3CDTF">2023-09-21T18:04:00Z</dcterms:modified>
</cp:coreProperties>
</file>