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Look w:val="0600" w:firstRow="0" w:lastRow="0" w:firstColumn="0" w:lastColumn="0" w:noHBand="1" w:noVBand="1"/>
      </w:tblPr>
      <w:tblGrid>
        <w:gridCol w:w="2617"/>
        <w:gridCol w:w="977"/>
        <w:gridCol w:w="2491"/>
        <w:gridCol w:w="2377"/>
        <w:gridCol w:w="2655"/>
        <w:gridCol w:w="4192"/>
      </w:tblGrid>
      <w:tr w:rsidRPr="00B05D93" w:rsidR="00FC2665" w:rsidTr="0CB208A1" w14:paraId="01FB21AA" w14:textId="77777777">
        <w:trPr>
          <w:trHeight w:val="284"/>
        </w:trPr>
        <w:tc>
          <w:tcPr>
            <w:tcW w:w="15309" w:type="dxa"/>
            <w:gridSpan w:val="6"/>
            <w:shd w:val="clear" w:color="auto" w:fill="auto"/>
            <w:tcMar>
              <w:top w:w="100" w:type="dxa"/>
              <w:left w:w="100" w:type="dxa"/>
              <w:bottom w:w="100" w:type="dxa"/>
              <w:right w:w="100" w:type="dxa"/>
            </w:tcMar>
          </w:tcPr>
          <w:p w:rsidRPr="00B05D93" w:rsidR="00FC2665" w:rsidP="00210C78" w:rsidRDefault="00210C78" w14:paraId="15AA0F14" w14:textId="2979C6FA">
            <w:pPr>
              <w:spacing w:after="0" w:line="240" w:lineRule="auto"/>
              <w:contextualSpacing/>
              <w:rPr>
                <w:rFonts w:cstheme="minorHAnsi"/>
                <w:bCs/>
                <w:sz w:val="22"/>
                <w:szCs w:val="22"/>
              </w:rPr>
            </w:pPr>
            <w:r>
              <w:rPr>
                <w:rFonts w:cstheme="minorHAnsi"/>
                <w:sz w:val="22"/>
                <w:szCs w:val="22"/>
              </w:rPr>
              <w:t>TE 9lk – Arvosana viisi</w:t>
            </w:r>
            <w:r>
              <w:rPr>
                <w:rFonts w:cstheme="minorHAnsi"/>
                <w:b/>
                <w:bCs/>
                <w:sz w:val="22"/>
                <w:szCs w:val="22"/>
              </w:rPr>
              <w:br/>
            </w:r>
            <w:r>
              <w:rPr>
                <w:rFonts w:cstheme="minorHAnsi"/>
                <w:b/>
                <w:bCs/>
                <w:sz w:val="22"/>
                <w:szCs w:val="22"/>
              </w:rPr>
              <w:br/>
            </w:r>
            <w:r w:rsidRPr="00B05D93" w:rsidR="00FC2665">
              <w:rPr>
                <w:rFonts w:cstheme="minorHAnsi"/>
                <w:b/>
                <w:bCs/>
                <w:sz w:val="22"/>
                <w:szCs w:val="22"/>
              </w:rPr>
              <w:t>S1 Terveyttä tukeva kasvu ja kehitys: </w:t>
            </w:r>
            <w:r w:rsidRPr="00B05D93" w:rsidR="00FC2665">
              <w:rPr>
                <w:rFonts w:cstheme="minorHAnsi"/>
                <w:bCs/>
                <w:sz w:val="22"/>
                <w:szCs w:val="22"/>
              </w:rPr>
              <w:t>Sisällöissä painotetaan terveyden eri osa-alueiden kokonaisvaltaista hahmottamista terveyden edistämisen ja sairauksien ehkäisyn näkökulmasta. Opetuksessa käsitellään elämänkulun sekä kasvun ja kehityksen yleisiä tunnuspiirteitä, monimuotoisuutta ja henkilökohtaisuutta. Kasvun ja kehityksen sisällöissä painottuvat identiteetin, minäkuvan ja itsetuntemuksen rakentuminen, seksuaalinen kehittyminen, huolenpidon sekä perheen ja läheisten merkitys, mielen hyvinvointi ja itsensä arvostaminen sekä turvataidot. Tunne- ja vuorovaikutustaitojen sisällöissä kiinnitetään huomiota vuorovaikutustilanteissa toimimiseen, tunteiden ilmaisuun ja niiden säätelyyn. Lisäksi perehdytään ristiriitojen, ongelmatilanteiden, stressin ja kriisien rakentavaan käsittelyyn.</w:t>
            </w:r>
          </w:p>
          <w:p w:rsidRPr="00B05D93" w:rsidR="00A80DE6" w:rsidP="00210C78" w:rsidRDefault="00581DC7" w14:paraId="7ABC37B3" w14:textId="06025F2C">
            <w:pPr>
              <w:numPr>
                <w:ilvl w:val="0"/>
                <w:numId w:val="2"/>
              </w:numPr>
              <w:tabs>
                <w:tab w:val="clear" w:pos="720"/>
              </w:tabs>
              <w:spacing w:after="0" w:line="240" w:lineRule="auto"/>
              <w:ind w:left="322" w:hanging="256"/>
              <w:contextualSpacing/>
              <w:rPr>
                <w:sz w:val="22"/>
                <w:szCs w:val="22"/>
              </w:rPr>
            </w:pPr>
            <w:r w:rsidRPr="00B05D93">
              <w:rPr>
                <w:sz w:val="22"/>
                <w:szCs w:val="22"/>
              </w:rPr>
              <w:t>Psyykkinen hyvinvointi (esimerkiksi stressi, syömishäiriöt)</w:t>
            </w:r>
          </w:p>
          <w:p w:rsidRPr="00B05D93" w:rsidR="005236AB" w:rsidP="00210C78" w:rsidRDefault="005236AB" w14:paraId="0D831951" w14:textId="77777777">
            <w:pPr>
              <w:spacing w:after="0" w:line="240" w:lineRule="auto"/>
              <w:ind w:left="40"/>
              <w:contextualSpacing/>
              <w:rPr>
                <w:rFonts w:cstheme="minorHAnsi"/>
                <w:b/>
                <w:bCs/>
                <w:sz w:val="22"/>
                <w:szCs w:val="22"/>
              </w:rPr>
            </w:pPr>
          </w:p>
          <w:p w:rsidRPr="00B05D93" w:rsidR="00FC2665" w:rsidP="00210C78" w:rsidRDefault="00FC2665" w14:paraId="3811212C" w14:textId="6E6E0357">
            <w:pPr>
              <w:spacing w:after="0" w:line="240" w:lineRule="auto"/>
              <w:contextualSpacing/>
              <w:rPr>
                <w:rFonts w:cstheme="minorHAnsi"/>
                <w:bCs/>
                <w:sz w:val="22"/>
                <w:szCs w:val="22"/>
              </w:rPr>
            </w:pPr>
            <w:r w:rsidRPr="00B05D93">
              <w:rPr>
                <w:rFonts w:cstheme="minorHAnsi"/>
                <w:b/>
                <w:bCs/>
                <w:sz w:val="22"/>
                <w:szCs w:val="22"/>
              </w:rPr>
              <w:t>S2 Terveyttä tukevat ja kuluttavat tekijät sekä sairauksien ehkäisy: </w:t>
            </w:r>
            <w:r w:rsidRPr="00B05D93">
              <w:rPr>
                <w:rFonts w:cstheme="minorHAnsi"/>
                <w:bCs/>
                <w:sz w:val="22"/>
                <w:szCs w:val="22"/>
              </w:rPr>
              <w:t>Sisältöjä valitaan syventäen tietoa ja ymmärrystä terveyttä tukevista voimavaroista ja sairauksia ehkäisevistä tekijöistä. Terveyteen liittyvistä tottumuksista käsitellään arkirytmi, uni, ravitsemus ja liikunta. Sisällöissä perehdytään seksuaalisuuteen, seksuaaliterveyden eri osa-alueisiin ja seksuaalisen kehityksen monimuotoisuuteen. Terveyden voimavaroista tarkastellaan mielenterveyttä, hyvinvointia tukevia ympäristöjä ja yhteisöjä sekä mielekästä vapaa-ajan toimintaa. Lisäksi käsitellään turvallisuustaitoja ja -valmiuksia, ensiaputaitoja, itsehoitoa sekä tuen ja avun hakemista. Sisältöjä valittaessa otetaan huomioon myös ajankohtaisia terveysilmiöitä sekä tarkastellaan terveyteen liittyvän tiedon luotettavuutta.</w:t>
            </w:r>
          </w:p>
          <w:p w:rsidRPr="00B05D93" w:rsidR="00FC2665" w:rsidP="00210C78" w:rsidRDefault="00FC2665" w14:paraId="04326397" w14:textId="133B0FC9">
            <w:pPr>
              <w:spacing w:after="0" w:line="240" w:lineRule="auto"/>
              <w:ind w:left="40"/>
              <w:contextualSpacing/>
              <w:rPr>
                <w:rFonts w:cstheme="minorHAnsi"/>
                <w:bCs/>
                <w:sz w:val="22"/>
                <w:szCs w:val="22"/>
              </w:rPr>
            </w:pPr>
            <w:r w:rsidRPr="00B05D93">
              <w:rPr>
                <w:rFonts w:cstheme="minorHAnsi"/>
                <w:bCs/>
                <w:sz w:val="22"/>
                <w:szCs w:val="22"/>
              </w:rPr>
              <w:t>Terveyden vaaratekijöistä nostetaan esiin liikkumattomuus ja passiivinen elämäntapa, ravitsemuksen ja nukkumisen ongelmat, kiusaaminen ja stressi. Sisällöissä otetaan huomioon nuoren mielen pahoinvointi, riippuvuudet sekä päihteet ja niiden käytön ehkäisy. Sairauksien ehkäisyyn liittyvistä sisällöistä valitaan keskeiset ja ajankohtaiset tartuntataudit sekä kansantaudit ja tapaturmat.</w:t>
            </w:r>
          </w:p>
          <w:p w:rsidRPr="00B05D93" w:rsidR="00A80DE6" w:rsidP="00210C78" w:rsidRDefault="00A80DE6" w14:paraId="79D0DDCB" w14:textId="77777777">
            <w:pPr>
              <w:numPr>
                <w:ilvl w:val="0"/>
                <w:numId w:val="3"/>
              </w:numPr>
              <w:tabs>
                <w:tab w:val="clear" w:pos="720"/>
              </w:tabs>
              <w:spacing w:after="0" w:line="240" w:lineRule="auto"/>
              <w:ind w:left="322" w:hanging="256"/>
              <w:contextualSpacing/>
              <w:rPr>
                <w:rFonts w:cstheme="minorHAnsi"/>
                <w:bCs/>
                <w:sz w:val="22"/>
                <w:szCs w:val="22"/>
              </w:rPr>
            </w:pPr>
            <w:r w:rsidRPr="00B05D93">
              <w:rPr>
                <w:rFonts w:cstheme="minorHAnsi"/>
                <w:bCs/>
                <w:sz w:val="22"/>
                <w:szCs w:val="22"/>
              </w:rPr>
              <w:t>Kansantaudit, pitkäaikaissairaudet, tartuntataudit</w:t>
            </w:r>
          </w:p>
          <w:p w:rsidRPr="00B05D93" w:rsidR="00A80DE6" w:rsidP="00210C78" w:rsidRDefault="00A80DE6" w14:paraId="5CD99BFF" w14:textId="77777777">
            <w:pPr>
              <w:numPr>
                <w:ilvl w:val="0"/>
                <w:numId w:val="3"/>
              </w:numPr>
              <w:tabs>
                <w:tab w:val="clear" w:pos="720"/>
              </w:tabs>
              <w:spacing w:after="0" w:line="240" w:lineRule="auto"/>
              <w:ind w:left="322" w:hanging="256"/>
              <w:contextualSpacing/>
              <w:rPr>
                <w:rFonts w:cstheme="minorHAnsi"/>
                <w:bCs/>
                <w:sz w:val="22"/>
                <w:szCs w:val="22"/>
              </w:rPr>
            </w:pPr>
            <w:r w:rsidRPr="00B05D93">
              <w:rPr>
                <w:rFonts w:cstheme="minorHAnsi"/>
                <w:bCs/>
                <w:sz w:val="22"/>
                <w:szCs w:val="22"/>
              </w:rPr>
              <w:t>Riippuvuus ja päihteet</w:t>
            </w:r>
          </w:p>
          <w:p w:rsidRPr="00B05D93" w:rsidR="00A80DE6" w:rsidP="00210C78" w:rsidRDefault="00A80DE6" w14:paraId="23426B2B" w14:textId="77777777">
            <w:pPr>
              <w:numPr>
                <w:ilvl w:val="0"/>
                <w:numId w:val="3"/>
              </w:numPr>
              <w:tabs>
                <w:tab w:val="clear" w:pos="720"/>
              </w:tabs>
              <w:spacing w:after="0" w:line="240" w:lineRule="auto"/>
              <w:ind w:left="322" w:hanging="256"/>
              <w:contextualSpacing/>
              <w:rPr>
                <w:rFonts w:cstheme="minorHAnsi"/>
                <w:bCs/>
                <w:sz w:val="22"/>
                <w:szCs w:val="22"/>
              </w:rPr>
            </w:pPr>
            <w:r w:rsidRPr="00B05D93">
              <w:rPr>
                <w:rFonts w:cstheme="minorHAnsi"/>
                <w:bCs/>
                <w:sz w:val="22"/>
                <w:szCs w:val="22"/>
              </w:rPr>
              <w:t>Ravinto ja terveys</w:t>
            </w:r>
          </w:p>
          <w:p w:rsidRPr="00B05D93" w:rsidR="00A80DE6" w:rsidP="00210C78" w:rsidRDefault="00A80DE6" w14:paraId="461608D1" w14:textId="77777777">
            <w:pPr>
              <w:numPr>
                <w:ilvl w:val="0"/>
                <w:numId w:val="3"/>
              </w:numPr>
              <w:tabs>
                <w:tab w:val="clear" w:pos="720"/>
              </w:tabs>
              <w:spacing w:after="0" w:line="240" w:lineRule="auto"/>
              <w:ind w:left="322" w:hanging="256"/>
              <w:contextualSpacing/>
              <w:rPr>
                <w:rFonts w:cstheme="minorHAnsi"/>
                <w:bCs/>
                <w:sz w:val="22"/>
                <w:szCs w:val="22"/>
              </w:rPr>
            </w:pPr>
            <w:r w:rsidRPr="00B05D93">
              <w:rPr>
                <w:rFonts w:cstheme="minorHAnsi"/>
                <w:bCs/>
                <w:sz w:val="22"/>
                <w:szCs w:val="22"/>
              </w:rPr>
              <w:t>Liikunta ja terveys</w:t>
            </w:r>
          </w:p>
          <w:p w:rsidRPr="00B05D93" w:rsidR="00A80DE6" w:rsidP="00210C78" w:rsidRDefault="00A80DE6" w14:paraId="565D1C9B" w14:textId="77777777">
            <w:pPr>
              <w:numPr>
                <w:ilvl w:val="0"/>
                <w:numId w:val="3"/>
              </w:numPr>
              <w:tabs>
                <w:tab w:val="clear" w:pos="720"/>
              </w:tabs>
              <w:spacing w:after="0" w:line="240" w:lineRule="auto"/>
              <w:ind w:left="322" w:hanging="256"/>
              <w:contextualSpacing/>
              <w:rPr>
                <w:rFonts w:cstheme="minorHAnsi"/>
                <w:bCs/>
                <w:sz w:val="22"/>
                <w:szCs w:val="22"/>
              </w:rPr>
            </w:pPr>
            <w:r w:rsidRPr="00B05D93">
              <w:rPr>
                <w:rFonts w:cstheme="minorHAnsi"/>
                <w:bCs/>
                <w:sz w:val="22"/>
                <w:szCs w:val="22"/>
              </w:rPr>
              <w:t>Seksuaaliterveys</w:t>
            </w:r>
          </w:p>
          <w:p w:rsidRPr="00B05D93" w:rsidR="005236AB" w:rsidP="00210C78" w:rsidRDefault="005236AB" w14:paraId="40734FBD" w14:textId="77777777">
            <w:pPr>
              <w:spacing w:after="0" w:line="240" w:lineRule="auto"/>
              <w:ind w:left="40"/>
              <w:contextualSpacing/>
              <w:rPr>
                <w:sz w:val="22"/>
                <w:szCs w:val="22"/>
              </w:rPr>
            </w:pPr>
          </w:p>
          <w:p w:rsidRPr="00B05D93" w:rsidR="00FC2665" w:rsidP="00210C78" w:rsidRDefault="00A80DE6" w14:paraId="5BD95168" w14:textId="6E72AD68">
            <w:pPr>
              <w:spacing w:after="0" w:line="240" w:lineRule="auto"/>
              <w:contextualSpacing/>
              <w:rPr>
                <w:sz w:val="22"/>
                <w:szCs w:val="22"/>
              </w:rPr>
            </w:pPr>
            <w:r w:rsidRPr="00B05D93">
              <w:rPr>
                <w:sz w:val="22"/>
                <w:szCs w:val="22"/>
              </w:rPr>
              <w:t>Liikunnassa ja terveystiedossa tehdään oppiaineen rajoja ylittävää yhteistyötä. Oppilas voi käyttää </w:t>
            </w:r>
            <w:proofErr w:type="spellStart"/>
            <w:r w:rsidRPr="00B05D93">
              <w:fldChar w:fldCharType="begin"/>
            </w:r>
            <w:r w:rsidRPr="00B05D93">
              <w:rPr>
                <w:sz w:val="22"/>
              </w:rPr>
              <w:instrText xml:space="preserve"> HYPERLINK "http://www.edu.fi/move" \h </w:instrText>
            </w:r>
            <w:r w:rsidRPr="00B05D93">
              <w:fldChar w:fldCharType="separate"/>
            </w:r>
            <w:proofErr w:type="gramStart"/>
            <w:r w:rsidRPr="00B05D93">
              <w:rPr>
                <w:rStyle w:val="Hyperlinkki"/>
                <w:sz w:val="22"/>
                <w:szCs w:val="22"/>
              </w:rPr>
              <w:t>Move</w:t>
            </w:r>
            <w:proofErr w:type="spellEnd"/>
            <w:r w:rsidRPr="00B05D93">
              <w:rPr>
                <w:rStyle w:val="Hyperlinkki"/>
                <w:sz w:val="22"/>
                <w:szCs w:val="22"/>
              </w:rPr>
              <w:t>!-</w:t>
            </w:r>
            <w:proofErr w:type="gramEnd"/>
            <w:r w:rsidRPr="00B05D93">
              <w:rPr>
                <w:rStyle w:val="Hyperlinkki"/>
                <w:sz w:val="22"/>
                <w:szCs w:val="22"/>
              </w:rPr>
              <w:t>mittausten </w:t>
            </w:r>
            <w:r w:rsidRPr="00B05D93">
              <w:rPr>
                <w:rStyle w:val="Hyperlinkki"/>
                <w:sz w:val="22"/>
                <w:szCs w:val="22"/>
              </w:rPr>
              <w:fldChar w:fldCharType="end"/>
            </w:r>
            <w:r w:rsidRPr="00B05D93">
              <w:rPr>
                <w:sz w:val="22"/>
                <w:szCs w:val="22"/>
              </w:rPr>
              <w:t>tuloksia oppimistehtävän pohjana, esimerkiksi oman liikuntaohjelman suunnittelussa ja toteutuksessa.</w:t>
            </w:r>
          </w:p>
          <w:p w:rsidRPr="00B05D93" w:rsidR="005236AB" w:rsidP="00210C78" w:rsidRDefault="005236AB" w14:paraId="32F4A535" w14:textId="77777777">
            <w:pPr>
              <w:spacing w:after="0" w:line="240" w:lineRule="auto"/>
              <w:contextualSpacing/>
              <w:rPr>
                <w:rFonts w:cstheme="minorHAnsi"/>
                <w:b/>
                <w:bCs/>
                <w:sz w:val="22"/>
                <w:szCs w:val="22"/>
              </w:rPr>
            </w:pPr>
          </w:p>
          <w:p w:rsidRPr="00B05D93" w:rsidR="00FC2665" w:rsidP="00210C78" w:rsidRDefault="00FC2665" w14:paraId="1C2339BA" w14:textId="796F03E0">
            <w:pPr>
              <w:spacing w:after="0" w:line="240" w:lineRule="auto"/>
              <w:contextualSpacing/>
              <w:rPr>
                <w:rFonts w:cstheme="minorHAnsi"/>
                <w:bCs/>
                <w:sz w:val="22"/>
                <w:szCs w:val="22"/>
              </w:rPr>
            </w:pPr>
            <w:r w:rsidRPr="00B05D93">
              <w:rPr>
                <w:rFonts w:cstheme="minorHAnsi"/>
                <w:b/>
                <w:bCs/>
                <w:sz w:val="22"/>
                <w:szCs w:val="22"/>
              </w:rPr>
              <w:t>S3 Terveys, yhteisöt, yhteiskunta ja kulttuuri: </w:t>
            </w:r>
            <w:r w:rsidRPr="00B05D93">
              <w:rPr>
                <w:rFonts w:cstheme="minorHAnsi"/>
                <w:bCs/>
                <w:sz w:val="22"/>
                <w:szCs w:val="22"/>
              </w:rPr>
              <w:t>Sisällöissä otetaan esille opiskelu-, työ- ja toimintakyky nuoruudessa. Kestävää elämäntapaa tarkastellessa otetaan huomioon sosiaalinen kestävyys ja vastuullinen kuluttaminen. Elinympäristön terveysvaikutuksia käsiteltäessä nostetaan esille keskeisiä terveyden edistämisen ja sairauksien ehkäisyn keinoja, terveyspalvelut, kansalaistoiminta ja ympäristön terveysriskit.</w:t>
            </w:r>
          </w:p>
          <w:p w:rsidRPr="00B05D93" w:rsidR="00FC2665" w:rsidP="00210C78" w:rsidRDefault="00FC2665" w14:paraId="39B807D8" w14:textId="77777777">
            <w:pPr>
              <w:spacing w:after="0" w:line="240" w:lineRule="auto"/>
              <w:ind w:left="40"/>
              <w:contextualSpacing/>
              <w:rPr>
                <w:rFonts w:cstheme="minorHAnsi"/>
                <w:bCs/>
                <w:sz w:val="22"/>
                <w:szCs w:val="22"/>
              </w:rPr>
            </w:pPr>
            <w:r w:rsidRPr="00B05D93">
              <w:rPr>
                <w:rFonts w:cstheme="minorHAnsi"/>
                <w:bCs/>
                <w:sz w:val="22"/>
                <w:szCs w:val="22"/>
              </w:rPr>
              <w:t>Tietolähteitä, erilaisia terveysmarkkinoinnin ja vaikuttamisen keinoja tarkastellaan erityisesti tiedon luotettavuuden ja terveysvaikutusten näkökulmasta. Terveyden edistämisen sisällöissä otetaan huomioon kulttuurin terveyttä edistävä merkitys ja kulttuurinen herkkyys, kestävä elämäntapa, kansalaisten yhdenvertaisuus ja osallisuus sekä ihmisoikeuksien kunnioittaminen. Sisältöjä käsiteltäessä otetaan huomioon eri näkökulmia kuten lapsuus ja lasten oikeudet, vanhuus, vammaisuus tai pitkäaikaissairaus.</w:t>
            </w:r>
          </w:p>
          <w:p w:rsidRPr="00B05D93" w:rsidR="00A80DE6" w:rsidP="00210C78" w:rsidRDefault="00A80DE6" w14:paraId="52C57A6F" w14:textId="77777777">
            <w:pPr>
              <w:numPr>
                <w:ilvl w:val="0"/>
                <w:numId w:val="4"/>
              </w:numPr>
              <w:tabs>
                <w:tab w:val="clear" w:pos="720"/>
              </w:tabs>
              <w:spacing w:after="0" w:line="240" w:lineRule="auto"/>
              <w:ind w:left="322" w:hanging="256"/>
              <w:contextualSpacing/>
              <w:rPr>
                <w:rFonts w:cstheme="minorHAnsi"/>
                <w:bCs/>
                <w:sz w:val="22"/>
                <w:szCs w:val="22"/>
              </w:rPr>
            </w:pPr>
            <w:r w:rsidRPr="00B05D93">
              <w:rPr>
                <w:rFonts w:cstheme="minorHAnsi"/>
                <w:bCs/>
                <w:sz w:val="22"/>
                <w:szCs w:val="22"/>
              </w:rPr>
              <w:t>Terveyspalvelut ja kansalaistoiminta</w:t>
            </w:r>
          </w:p>
          <w:p w:rsidRPr="00B05D93" w:rsidR="00A80DE6" w:rsidP="00210C78" w:rsidRDefault="00A80DE6" w14:paraId="7CF6CE03" w14:textId="77777777">
            <w:pPr>
              <w:numPr>
                <w:ilvl w:val="0"/>
                <w:numId w:val="4"/>
              </w:numPr>
              <w:tabs>
                <w:tab w:val="clear" w:pos="720"/>
              </w:tabs>
              <w:spacing w:after="0" w:line="240" w:lineRule="auto"/>
              <w:ind w:left="322" w:hanging="256"/>
              <w:contextualSpacing/>
              <w:rPr>
                <w:rFonts w:cstheme="minorHAnsi"/>
                <w:bCs/>
                <w:sz w:val="22"/>
                <w:szCs w:val="22"/>
              </w:rPr>
            </w:pPr>
            <w:r w:rsidRPr="00B05D93">
              <w:rPr>
                <w:rFonts w:cstheme="minorHAnsi"/>
                <w:bCs/>
                <w:sz w:val="22"/>
                <w:szCs w:val="22"/>
              </w:rPr>
              <w:t>Ympäristö ja terveys</w:t>
            </w:r>
          </w:p>
          <w:p w:rsidRPr="00B05D93" w:rsidR="00A80DE6" w:rsidP="00210C78" w:rsidRDefault="00A80DE6" w14:paraId="234A3331" w14:textId="77777777">
            <w:pPr>
              <w:numPr>
                <w:ilvl w:val="0"/>
                <w:numId w:val="4"/>
              </w:numPr>
              <w:tabs>
                <w:tab w:val="clear" w:pos="720"/>
              </w:tabs>
              <w:spacing w:after="0" w:line="240" w:lineRule="auto"/>
              <w:ind w:left="322" w:hanging="256"/>
              <w:contextualSpacing/>
              <w:rPr>
                <w:rFonts w:cstheme="minorHAnsi"/>
                <w:bCs/>
                <w:sz w:val="22"/>
                <w:szCs w:val="22"/>
              </w:rPr>
            </w:pPr>
            <w:r w:rsidRPr="00B05D93">
              <w:rPr>
                <w:rFonts w:cstheme="minorHAnsi"/>
                <w:bCs/>
                <w:sz w:val="22"/>
                <w:szCs w:val="22"/>
              </w:rPr>
              <w:t>Terveys ja media</w:t>
            </w:r>
          </w:p>
          <w:p w:rsidRPr="00B05D93" w:rsidR="00A80DE6" w:rsidP="00210C78" w:rsidRDefault="00A80DE6" w14:paraId="5DB19DAF" w14:textId="0FAF3B8E">
            <w:pPr>
              <w:numPr>
                <w:ilvl w:val="0"/>
                <w:numId w:val="4"/>
              </w:numPr>
              <w:tabs>
                <w:tab w:val="clear" w:pos="720"/>
              </w:tabs>
              <w:spacing w:after="0" w:line="240" w:lineRule="auto"/>
              <w:ind w:left="322" w:hanging="256"/>
              <w:contextualSpacing/>
              <w:rPr>
                <w:rFonts w:cstheme="minorHAnsi"/>
                <w:bCs/>
                <w:sz w:val="22"/>
                <w:szCs w:val="22"/>
              </w:rPr>
            </w:pPr>
            <w:r w:rsidRPr="00B05D93">
              <w:rPr>
                <w:rFonts w:cstheme="minorHAnsi"/>
                <w:bCs/>
                <w:sz w:val="22"/>
                <w:szCs w:val="22"/>
              </w:rPr>
              <w:lastRenderedPageBreak/>
              <w:t>Seksuaalinen monimuotoisuus</w:t>
            </w:r>
          </w:p>
        </w:tc>
      </w:tr>
      <w:tr w:rsidRPr="00B05D93" w:rsidR="00FC2665" w:rsidTr="0CB208A1" w14:paraId="74368B11" w14:textId="77777777">
        <w:trPr>
          <w:trHeight w:val="284"/>
        </w:trPr>
        <w:tc>
          <w:tcPr>
            <w:tcW w:w="15309" w:type="dxa"/>
            <w:gridSpan w:val="6"/>
            <w:shd w:val="clear" w:color="auto" w:fill="FFF2CC" w:themeFill="accent4" w:themeFillTint="33"/>
            <w:tcMar>
              <w:top w:w="100" w:type="dxa"/>
              <w:left w:w="100" w:type="dxa"/>
              <w:bottom w:w="100" w:type="dxa"/>
              <w:right w:w="100" w:type="dxa"/>
            </w:tcMar>
          </w:tcPr>
          <w:p w:rsidRPr="00B05D93" w:rsidR="00FC2665" w:rsidP="0CB208A1" w:rsidRDefault="00FC2665" w14:paraId="2AD6242D" w14:textId="75B7A213">
            <w:pPr>
              <w:pStyle w:val="Normaali"/>
              <w:spacing w:after="0" w:line="240" w:lineRule="auto"/>
              <w:ind w:left="40"/>
              <w:contextualSpacing/>
              <w:rPr>
                <w:rFonts w:ascii="Calibri" w:hAnsi="Calibri" w:eastAsia="Calibri" w:cs="Calibri"/>
                <w:noProof w:val="0"/>
                <w:sz w:val="22"/>
                <w:szCs w:val="22"/>
                <w:lang w:val="fi-FI"/>
              </w:rPr>
            </w:pPr>
            <w:r w:rsidRPr="0CB208A1" w:rsidR="136B58B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i-FI"/>
              </w:rPr>
              <w:t xml:space="preserve">OPH:n tukimateriaali päättöarviointiin: </w:t>
            </w:r>
            <w:hyperlink r:id="R7105ed832d4b4cf7">
              <w:r w:rsidRPr="0CB208A1" w:rsidR="1E2364D0">
                <w:rPr>
                  <w:rStyle w:val="Hyperlinkki"/>
                  <w:rFonts w:ascii="Calibri" w:hAnsi="Calibri" w:eastAsia="Calibri" w:cs="Calibri"/>
                  <w:b w:val="0"/>
                  <w:bCs w:val="0"/>
                  <w:i w:val="0"/>
                  <w:iCs w:val="0"/>
                  <w:caps w:val="0"/>
                  <w:smallCaps w:val="0"/>
                  <w:strike w:val="0"/>
                  <w:dstrike w:val="0"/>
                  <w:noProof w:val="0"/>
                  <w:sz w:val="22"/>
                  <w:szCs w:val="22"/>
                  <w:lang w:val="fi-FI"/>
                </w:rPr>
                <w:t>https://www.oph.fi/fi/koulutus-ja-tutkinnot/terveystiedon-paattoarvioinnin-tukimateriaali</w:t>
              </w:r>
            </w:hyperlink>
            <w:r w:rsidRPr="0CB208A1" w:rsidR="1E2364D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i-FI"/>
              </w:rPr>
              <w:t xml:space="preserve"> </w:t>
            </w:r>
          </w:p>
        </w:tc>
      </w:tr>
      <w:tr w:rsidRPr="00B05D93" w:rsidR="00310DD6" w:rsidTr="0CB208A1" w14:paraId="7564E243" w14:textId="3812FB7C">
        <w:trPr>
          <w:trHeight w:val="284"/>
        </w:trPr>
        <w:tc>
          <w:tcPr>
            <w:tcW w:w="2617" w:type="dxa"/>
            <w:shd w:val="clear" w:color="auto" w:fill="B4C6E7" w:themeFill="accent1" w:themeFillTint="66"/>
            <w:tcMar>
              <w:top w:w="100" w:type="dxa"/>
              <w:left w:w="100" w:type="dxa"/>
              <w:bottom w:w="100" w:type="dxa"/>
              <w:right w:w="100" w:type="dxa"/>
            </w:tcMar>
          </w:tcPr>
          <w:p w:rsidRPr="00B05D93" w:rsidR="00FC2665" w:rsidP="00210C78" w:rsidRDefault="00FC2665" w14:paraId="30362931" w14:textId="3437BC90">
            <w:pPr>
              <w:spacing w:after="0" w:line="240" w:lineRule="auto"/>
              <w:ind w:left="40"/>
              <w:contextualSpacing/>
              <w:rPr>
                <w:rFonts w:cstheme="minorHAnsi"/>
                <w:b/>
                <w:sz w:val="22"/>
                <w:szCs w:val="22"/>
              </w:rPr>
            </w:pPr>
            <w:r w:rsidRPr="00B05D93">
              <w:rPr>
                <w:rFonts w:cstheme="minorHAnsi"/>
                <w:b/>
                <w:sz w:val="22"/>
                <w:szCs w:val="22"/>
              </w:rPr>
              <w:t>Opetuksen tavoite</w:t>
            </w:r>
          </w:p>
        </w:tc>
        <w:tc>
          <w:tcPr>
            <w:tcW w:w="977" w:type="dxa"/>
            <w:shd w:val="clear" w:color="auto" w:fill="B4C6E7" w:themeFill="accent1" w:themeFillTint="66"/>
            <w:tcMar>
              <w:top w:w="100" w:type="dxa"/>
              <w:left w:w="100" w:type="dxa"/>
              <w:bottom w:w="100" w:type="dxa"/>
              <w:right w:w="100" w:type="dxa"/>
            </w:tcMar>
          </w:tcPr>
          <w:p w:rsidRPr="00B05D93" w:rsidR="00FC2665" w:rsidP="00210C78" w:rsidRDefault="00FC2665" w14:paraId="28D707F5" w14:textId="52E16519">
            <w:pPr>
              <w:spacing w:after="0" w:line="240" w:lineRule="auto"/>
              <w:ind w:left="40"/>
              <w:contextualSpacing/>
              <w:rPr>
                <w:rFonts w:cstheme="minorHAnsi"/>
                <w:b/>
                <w:sz w:val="22"/>
                <w:szCs w:val="22"/>
              </w:rPr>
            </w:pPr>
            <w:r w:rsidRPr="00B05D93">
              <w:rPr>
                <w:rFonts w:cstheme="minorHAnsi"/>
                <w:b/>
                <w:sz w:val="22"/>
                <w:szCs w:val="22"/>
              </w:rPr>
              <w:t>Sisältö-alueet</w:t>
            </w:r>
          </w:p>
        </w:tc>
        <w:tc>
          <w:tcPr>
            <w:tcW w:w="2491" w:type="dxa"/>
            <w:shd w:val="clear" w:color="auto" w:fill="B4C6E7" w:themeFill="accent1" w:themeFillTint="66"/>
            <w:tcMar>
              <w:top w:w="100" w:type="dxa"/>
              <w:left w:w="100" w:type="dxa"/>
              <w:bottom w:w="100" w:type="dxa"/>
              <w:right w:w="100" w:type="dxa"/>
            </w:tcMar>
          </w:tcPr>
          <w:p w:rsidRPr="00B05D93" w:rsidR="00FC2665" w:rsidP="00210C78" w:rsidRDefault="00FC2665" w14:paraId="5C58FC99" w14:textId="77777777">
            <w:pPr>
              <w:spacing w:after="0" w:line="240" w:lineRule="auto"/>
              <w:ind w:left="40"/>
              <w:contextualSpacing/>
              <w:rPr>
                <w:rFonts w:cstheme="minorHAnsi"/>
                <w:b/>
                <w:sz w:val="22"/>
                <w:szCs w:val="22"/>
              </w:rPr>
            </w:pPr>
            <w:r w:rsidRPr="00B05D93">
              <w:rPr>
                <w:rFonts w:cstheme="minorHAnsi"/>
                <w:b/>
                <w:sz w:val="22"/>
                <w:szCs w:val="22"/>
              </w:rPr>
              <w:t>Opetuksen tavoitteista johdetut oppimisen tavoitteet</w:t>
            </w:r>
          </w:p>
        </w:tc>
        <w:tc>
          <w:tcPr>
            <w:tcW w:w="2377" w:type="dxa"/>
            <w:shd w:val="clear" w:color="auto" w:fill="B4C6E7" w:themeFill="accent1" w:themeFillTint="66"/>
            <w:tcMar>
              <w:top w:w="100" w:type="dxa"/>
              <w:left w:w="100" w:type="dxa"/>
              <w:bottom w:w="100" w:type="dxa"/>
              <w:right w:w="100" w:type="dxa"/>
            </w:tcMar>
          </w:tcPr>
          <w:p w:rsidRPr="00B05D93" w:rsidR="00FC2665" w:rsidP="00210C78" w:rsidRDefault="00FC2665" w14:paraId="5CDF5511" w14:textId="77777777">
            <w:pPr>
              <w:spacing w:after="0" w:line="240" w:lineRule="auto"/>
              <w:ind w:left="40"/>
              <w:contextualSpacing/>
              <w:rPr>
                <w:rFonts w:cstheme="minorHAnsi"/>
                <w:b/>
                <w:sz w:val="22"/>
                <w:szCs w:val="22"/>
              </w:rPr>
            </w:pPr>
            <w:r w:rsidRPr="00B05D93">
              <w:rPr>
                <w:rFonts w:cstheme="minorHAnsi"/>
                <w:b/>
                <w:sz w:val="22"/>
                <w:szCs w:val="22"/>
              </w:rPr>
              <w:t xml:space="preserve">Arvioinnin kohde </w:t>
            </w:r>
          </w:p>
        </w:tc>
        <w:tc>
          <w:tcPr>
            <w:tcW w:w="2655" w:type="dxa"/>
            <w:shd w:val="clear" w:color="auto" w:fill="B4C6E7" w:themeFill="accent1" w:themeFillTint="66"/>
            <w:tcMar>
              <w:top w:w="100" w:type="dxa"/>
              <w:left w:w="100" w:type="dxa"/>
              <w:bottom w:w="100" w:type="dxa"/>
              <w:right w:w="100" w:type="dxa"/>
            </w:tcMar>
          </w:tcPr>
          <w:p w:rsidRPr="00B05D93" w:rsidR="00FC2665" w:rsidP="00210C78" w:rsidRDefault="00FC2665" w14:paraId="7ECF650F" w14:textId="77777777">
            <w:pPr>
              <w:spacing w:after="0" w:line="240" w:lineRule="auto"/>
              <w:ind w:left="40"/>
              <w:contextualSpacing/>
              <w:rPr>
                <w:rFonts w:cstheme="minorHAnsi"/>
                <w:b/>
                <w:sz w:val="22"/>
                <w:szCs w:val="22"/>
              </w:rPr>
            </w:pPr>
            <w:r w:rsidRPr="00B05D93">
              <w:rPr>
                <w:rFonts w:cstheme="minorHAnsi"/>
                <w:b/>
                <w:sz w:val="22"/>
                <w:szCs w:val="22"/>
              </w:rPr>
              <w:t>Osaamisen kuvaus arvosanalle 5</w:t>
            </w:r>
          </w:p>
        </w:tc>
        <w:tc>
          <w:tcPr>
            <w:tcW w:w="4192" w:type="dxa"/>
            <w:shd w:val="clear" w:color="auto" w:fill="B4C6E7" w:themeFill="accent1" w:themeFillTint="66"/>
            <w:tcMar/>
          </w:tcPr>
          <w:p w:rsidRPr="00B05D93" w:rsidR="00FC2665" w:rsidP="00210C78" w:rsidRDefault="00FC2665" w14:paraId="4B469126" w14:textId="199E520A">
            <w:pPr>
              <w:spacing w:after="0" w:line="240" w:lineRule="auto"/>
              <w:ind w:left="40"/>
              <w:contextualSpacing/>
              <w:rPr>
                <w:rFonts w:cstheme="minorHAnsi"/>
                <w:b/>
                <w:sz w:val="22"/>
                <w:szCs w:val="22"/>
              </w:rPr>
            </w:pPr>
            <w:r w:rsidRPr="00B05D93">
              <w:rPr>
                <w:rFonts w:cstheme="minorHAnsi"/>
                <w:b/>
                <w:sz w:val="22"/>
                <w:szCs w:val="22"/>
              </w:rPr>
              <w:t>Käytännönläheiset esimerkit</w:t>
            </w:r>
          </w:p>
        </w:tc>
      </w:tr>
      <w:tr w:rsidRPr="00B05D93" w:rsidR="00407824" w:rsidTr="0CB208A1" w14:paraId="3545030B" w14:textId="7419CED3">
        <w:trPr>
          <w:trHeight w:val="284"/>
        </w:trPr>
        <w:tc>
          <w:tcPr>
            <w:tcW w:w="2617" w:type="dxa"/>
            <w:tcMar>
              <w:top w:w="100" w:type="dxa"/>
              <w:left w:w="100" w:type="dxa"/>
              <w:bottom w:w="100" w:type="dxa"/>
              <w:right w:w="100" w:type="dxa"/>
            </w:tcMar>
          </w:tcPr>
          <w:p w:rsidRPr="00B05D93" w:rsidR="00FC2665" w:rsidP="00210C78" w:rsidRDefault="00FC2665" w14:paraId="30812B26" w14:textId="77777777">
            <w:pPr>
              <w:spacing w:after="0" w:line="240" w:lineRule="auto"/>
              <w:ind w:right="100"/>
              <w:contextualSpacing/>
              <w:rPr>
                <w:rFonts w:cstheme="minorHAnsi"/>
                <w:sz w:val="22"/>
                <w:szCs w:val="22"/>
              </w:rPr>
            </w:pPr>
            <w:r w:rsidRPr="00B05D93">
              <w:rPr>
                <w:rFonts w:cstheme="minorHAnsi"/>
                <w:sz w:val="22"/>
                <w:szCs w:val="22"/>
              </w:rPr>
              <w:t>T9 ohjata oppilasta ymmärtämään ympäristön, yhteisöjen, kulttuurin, ja tieto- ja viestintäteknologian merkitystä terveydelle ja hyvinvoinnille</w:t>
            </w:r>
          </w:p>
        </w:tc>
        <w:tc>
          <w:tcPr>
            <w:tcW w:w="977" w:type="dxa"/>
            <w:tcMar>
              <w:top w:w="100" w:type="dxa"/>
              <w:left w:w="100" w:type="dxa"/>
              <w:bottom w:w="100" w:type="dxa"/>
              <w:right w:w="100" w:type="dxa"/>
            </w:tcMar>
          </w:tcPr>
          <w:p w:rsidRPr="00B05D93" w:rsidR="00FC2665" w:rsidP="00210C78" w:rsidRDefault="00FC2665" w14:paraId="66610FF8" w14:textId="77777777">
            <w:pPr>
              <w:spacing w:after="0" w:line="240" w:lineRule="auto"/>
              <w:ind w:right="100"/>
              <w:contextualSpacing/>
              <w:rPr>
                <w:rFonts w:cstheme="minorHAnsi"/>
                <w:sz w:val="22"/>
                <w:szCs w:val="22"/>
              </w:rPr>
            </w:pPr>
            <w:r w:rsidRPr="00B05D93">
              <w:rPr>
                <w:rFonts w:cstheme="minorHAnsi"/>
                <w:sz w:val="22"/>
                <w:szCs w:val="22"/>
              </w:rPr>
              <w:t>S3</w:t>
            </w:r>
          </w:p>
        </w:tc>
        <w:tc>
          <w:tcPr>
            <w:tcW w:w="2491" w:type="dxa"/>
            <w:tcMar>
              <w:top w:w="100" w:type="dxa"/>
              <w:left w:w="100" w:type="dxa"/>
              <w:bottom w:w="100" w:type="dxa"/>
              <w:right w:w="100" w:type="dxa"/>
            </w:tcMar>
          </w:tcPr>
          <w:p w:rsidRPr="00B05D93" w:rsidR="00FC2665" w:rsidP="00210C78" w:rsidRDefault="00FC2665" w14:paraId="34AE7BA7" w14:textId="77777777">
            <w:pPr>
              <w:spacing w:after="0" w:line="240" w:lineRule="auto"/>
              <w:ind w:right="100"/>
              <w:contextualSpacing/>
              <w:rPr>
                <w:rFonts w:cstheme="minorHAnsi"/>
                <w:sz w:val="22"/>
                <w:szCs w:val="22"/>
              </w:rPr>
            </w:pPr>
            <w:r w:rsidRPr="00B05D93">
              <w:rPr>
                <w:rFonts w:cstheme="minorHAnsi"/>
                <w:sz w:val="22"/>
                <w:szCs w:val="22"/>
              </w:rPr>
              <w:t>Oppilas oppii tarkastelemaan ympäristön, yhteisöjen, kulttuurin, ja tieto- ja viestintäteknologian merkitystä terveydelle ja hyvinvoinnille.</w:t>
            </w:r>
          </w:p>
        </w:tc>
        <w:tc>
          <w:tcPr>
            <w:tcW w:w="2377" w:type="dxa"/>
            <w:tcMar>
              <w:top w:w="100" w:type="dxa"/>
              <w:left w:w="100" w:type="dxa"/>
              <w:bottom w:w="100" w:type="dxa"/>
              <w:right w:w="100" w:type="dxa"/>
            </w:tcMar>
          </w:tcPr>
          <w:p w:rsidRPr="00B05D93" w:rsidR="00FC2665" w:rsidP="00210C78" w:rsidRDefault="00FC2665" w14:paraId="24CA985A" w14:textId="77777777">
            <w:pPr>
              <w:spacing w:after="0" w:line="240" w:lineRule="auto"/>
              <w:ind w:right="100"/>
              <w:contextualSpacing/>
              <w:rPr>
                <w:rFonts w:cstheme="minorHAnsi"/>
                <w:sz w:val="22"/>
                <w:szCs w:val="22"/>
              </w:rPr>
            </w:pPr>
            <w:r w:rsidRPr="00B05D93">
              <w:rPr>
                <w:rFonts w:cstheme="minorHAnsi"/>
                <w:sz w:val="22"/>
                <w:szCs w:val="22"/>
              </w:rPr>
              <w:t>Ympäristön terveysvaikutusten hahmottaminen</w:t>
            </w:r>
          </w:p>
        </w:tc>
        <w:tc>
          <w:tcPr>
            <w:tcW w:w="2655" w:type="dxa"/>
            <w:tcMar>
              <w:top w:w="100" w:type="dxa"/>
              <w:left w:w="100" w:type="dxa"/>
              <w:bottom w:w="100" w:type="dxa"/>
              <w:right w:w="100" w:type="dxa"/>
            </w:tcMar>
          </w:tcPr>
          <w:p w:rsidRPr="00B05D93" w:rsidR="00FC2665" w:rsidP="00210C78" w:rsidRDefault="00FC2665" w14:paraId="0B4370A4" w14:textId="77777777">
            <w:pPr>
              <w:spacing w:after="0" w:line="240" w:lineRule="auto"/>
              <w:ind w:right="100"/>
              <w:contextualSpacing/>
              <w:rPr>
                <w:rFonts w:cstheme="minorHAnsi"/>
                <w:sz w:val="22"/>
                <w:szCs w:val="22"/>
              </w:rPr>
            </w:pPr>
            <w:r w:rsidRPr="00B05D93">
              <w:rPr>
                <w:rFonts w:cstheme="minorHAnsi"/>
                <w:sz w:val="22"/>
                <w:szCs w:val="22"/>
              </w:rPr>
              <w:t xml:space="preserve">Oppilas osaa nimetä elinympäristön aiheuttamia vaikutuksia terveyteen sekä yhteisöjen, kulttuurin tai </w:t>
            </w:r>
            <w:proofErr w:type="spellStart"/>
            <w:r w:rsidRPr="00B05D93">
              <w:rPr>
                <w:rFonts w:cstheme="minorHAnsi"/>
                <w:sz w:val="22"/>
                <w:szCs w:val="22"/>
              </w:rPr>
              <w:t>tvt:n</w:t>
            </w:r>
            <w:proofErr w:type="spellEnd"/>
            <w:r w:rsidRPr="00B05D93">
              <w:rPr>
                <w:rFonts w:cstheme="minorHAnsi"/>
                <w:sz w:val="22"/>
                <w:szCs w:val="22"/>
              </w:rPr>
              <w:t xml:space="preserve"> yhteyksiä terveyteen.</w:t>
            </w:r>
          </w:p>
        </w:tc>
        <w:tc>
          <w:tcPr>
            <w:tcW w:w="4192" w:type="dxa"/>
            <w:tcMar/>
          </w:tcPr>
          <w:p w:rsidRPr="00B05D93" w:rsidR="009B71EA" w:rsidP="00210C78" w:rsidRDefault="001B42BD" w14:paraId="29D5E0B5" w14:textId="690A9A6E">
            <w:pPr>
              <w:spacing w:after="0" w:line="240" w:lineRule="auto"/>
              <w:ind w:right="100"/>
              <w:contextualSpacing/>
              <w:rPr>
                <w:rFonts w:cstheme="minorHAnsi"/>
                <w:sz w:val="22"/>
                <w:szCs w:val="22"/>
              </w:rPr>
            </w:pPr>
            <w:r w:rsidRPr="00B05D93">
              <w:rPr>
                <w:rFonts w:cstheme="minorHAnsi"/>
                <w:sz w:val="22"/>
                <w:szCs w:val="22"/>
              </w:rPr>
              <w:t xml:space="preserve">Käsitellään erilaisia elinympäristöjä </w:t>
            </w:r>
            <w:r w:rsidRPr="00B05D93" w:rsidR="008E6DD7">
              <w:rPr>
                <w:rFonts w:cstheme="minorHAnsi"/>
                <w:sz w:val="22"/>
                <w:szCs w:val="22"/>
              </w:rPr>
              <w:t xml:space="preserve">Suomessa ja muualla. </w:t>
            </w:r>
          </w:p>
          <w:p w:rsidRPr="00B05D93" w:rsidR="009B71EA" w:rsidP="00210C78" w:rsidRDefault="009B71EA" w14:paraId="44652AFD" w14:textId="77777777">
            <w:pPr>
              <w:spacing w:after="0" w:line="240" w:lineRule="auto"/>
              <w:ind w:right="100"/>
              <w:contextualSpacing/>
              <w:rPr>
                <w:rFonts w:cstheme="minorHAnsi"/>
                <w:sz w:val="22"/>
                <w:szCs w:val="22"/>
              </w:rPr>
            </w:pPr>
          </w:p>
          <w:p w:rsidRPr="00B05D93" w:rsidR="00FC2665" w:rsidP="00210C78" w:rsidRDefault="00407824" w14:paraId="1D2074C8" w14:textId="3E78C617">
            <w:pPr>
              <w:spacing w:after="0" w:line="240" w:lineRule="auto"/>
              <w:ind w:right="100"/>
              <w:contextualSpacing/>
              <w:rPr>
                <w:rFonts w:cstheme="minorHAnsi"/>
                <w:sz w:val="22"/>
                <w:szCs w:val="22"/>
              </w:rPr>
            </w:pPr>
            <w:r w:rsidRPr="00B05D93">
              <w:rPr>
                <w:rFonts w:cstheme="minorHAnsi"/>
                <w:sz w:val="22"/>
                <w:szCs w:val="22"/>
              </w:rPr>
              <w:t xml:space="preserve">Nimeämistä voi osoittaa esim. </w:t>
            </w:r>
            <w:r w:rsidRPr="00B05D93" w:rsidR="00310DD6">
              <w:rPr>
                <w:rFonts w:cstheme="minorHAnsi"/>
                <w:sz w:val="22"/>
                <w:szCs w:val="22"/>
              </w:rPr>
              <w:t xml:space="preserve">erilaisilla </w:t>
            </w:r>
            <w:r w:rsidRPr="00B05D93">
              <w:rPr>
                <w:rFonts w:cstheme="minorHAnsi"/>
                <w:sz w:val="22"/>
                <w:szCs w:val="22"/>
              </w:rPr>
              <w:t>t</w:t>
            </w:r>
            <w:r w:rsidRPr="00B05D93" w:rsidR="002008D7">
              <w:rPr>
                <w:rFonts w:cstheme="minorHAnsi"/>
                <w:sz w:val="22"/>
                <w:szCs w:val="22"/>
              </w:rPr>
              <w:t>äydentämistehtäv</w:t>
            </w:r>
            <w:r w:rsidRPr="00B05D93">
              <w:rPr>
                <w:rFonts w:cstheme="minorHAnsi"/>
                <w:sz w:val="22"/>
                <w:szCs w:val="22"/>
              </w:rPr>
              <w:t>illä</w:t>
            </w:r>
            <w:r w:rsidRPr="00B05D93" w:rsidR="00816943">
              <w:rPr>
                <w:rFonts w:cstheme="minorHAnsi"/>
                <w:sz w:val="22"/>
                <w:szCs w:val="22"/>
              </w:rPr>
              <w:t xml:space="preserve"> tai </w:t>
            </w:r>
            <w:r w:rsidRPr="00B05D93">
              <w:rPr>
                <w:rFonts w:cstheme="minorHAnsi"/>
                <w:sz w:val="22"/>
                <w:szCs w:val="22"/>
              </w:rPr>
              <w:t>suullisesti kuvailemalla</w:t>
            </w:r>
            <w:r w:rsidRPr="00B05D93" w:rsidR="00816943">
              <w:rPr>
                <w:rFonts w:cstheme="minorHAnsi"/>
                <w:sz w:val="22"/>
                <w:szCs w:val="22"/>
              </w:rPr>
              <w:t>.</w:t>
            </w:r>
          </w:p>
        </w:tc>
      </w:tr>
      <w:tr w:rsidRPr="00B05D93" w:rsidR="00407824" w:rsidTr="0CB208A1" w14:paraId="5ED68AB6" w14:textId="012CE784">
        <w:trPr>
          <w:trHeight w:val="284"/>
        </w:trPr>
        <w:tc>
          <w:tcPr>
            <w:tcW w:w="2617" w:type="dxa"/>
            <w:tcMar>
              <w:top w:w="100" w:type="dxa"/>
              <w:left w:w="100" w:type="dxa"/>
              <w:bottom w:w="100" w:type="dxa"/>
              <w:right w:w="100" w:type="dxa"/>
            </w:tcMar>
          </w:tcPr>
          <w:p w:rsidRPr="00B05D93" w:rsidR="00FC2665" w:rsidP="00210C78" w:rsidRDefault="00FC2665" w14:paraId="33929111" w14:textId="77777777">
            <w:pPr>
              <w:spacing w:after="0" w:line="240" w:lineRule="auto"/>
              <w:ind w:right="100"/>
              <w:contextualSpacing/>
              <w:rPr>
                <w:rFonts w:cstheme="minorHAnsi"/>
                <w:sz w:val="22"/>
                <w:szCs w:val="22"/>
              </w:rPr>
            </w:pPr>
            <w:r w:rsidRPr="00B05D93">
              <w:rPr>
                <w:rFonts w:cstheme="minorHAnsi"/>
                <w:sz w:val="22"/>
                <w:szCs w:val="22"/>
              </w:rPr>
              <w:t>T10 ohjata oppilasta luomaan perustaa opiskelu-, toiminta- ja työkyvylle ja sen ylläpitämiselle sekä kuvaamaan terveyspalvelujen asianmukaista käyttöä</w:t>
            </w:r>
          </w:p>
        </w:tc>
        <w:tc>
          <w:tcPr>
            <w:tcW w:w="977" w:type="dxa"/>
            <w:tcMar>
              <w:top w:w="100" w:type="dxa"/>
              <w:left w:w="100" w:type="dxa"/>
              <w:bottom w:w="100" w:type="dxa"/>
              <w:right w:w="100" w:type="dxa"/>
            </w:tcMar>
          </w:tcPr>
          <w:p w:rsidRPr="00B05D93" w:rsidR="00FC2665" w:rsidP="00210C78" w:rsidRDefault="00FC2665" w14:paraId="18D40B60" w14:textId="77777777">
            <w:pPr>
              <w:spacing w:after="0" w:line="240" w:lineRule="auto"/>
              <w:ind w:right="100"/>
              <w:contextualSpacing/>
              <w:rPr>
                <w:rFonts w:cstheme="minorHAnsi"/>
                <w:sz w:val="22"/>
                <w:szCs w:val="22"/>
              </w:rPr>
            </w:pPr>
            <w:r w:rsidRPr="00B05D93">
              <w:rPr>
                <w:rFonts w:cstheme="minorHAnsi"/>
                <w:sz w:val="22"/>
                <w:szCs w:val="22"/>
              </w:rPr>
              <w:t>S1–S2</w:t>
            </w:r>
          </w:p>
        </w:tc>
        <w:tc>
          <w:tcPr>
            <w:tcW w:w="2491" w:type="dxa"/>
            <w:tcMar>
              <w:top w:w="100" w:type="dxa"/>
              <w:left w:w="100" w:type="dxa"/>
              <w:bottom w:w="100" w:type="dxa"/>
              <w:right w:w="100" w:type="dxa"/>
            </w:tcMar>
          </w:tcPr>
          <w:p w:rsidRPr="00B05D93" w:rsidR="00FC2665" w:rsidP="00210C78" w:rsidRDefault="00FC2665" w14:paraId="19C51F52" w14:textId="77777777">
            <w:pPr>
              <w:spacing w:after="0" w:line="240" w:lineRule="auto"/>
              <w:ind w:right="100"/>
              <w:contextualSpacing/>
              <w:rPr>
                <w:rFonts w:cstheme="minorHAnsi"/>
                <w:sz w:val="22"/>
                <w:szCs w:val="22"/>
              </w:rPr>
            </w:pPr>
            <w:r w:rsidRPr="00B05D93">
              <w:rPr>
                <w:rFonts w:cstheme="minorHAnsi"/>
                <w:sz w:val="22"/>
                <w:szCs w:val="22"/>
              </w:rPr>
              <w:t>Oppilas oppii luomaan perustaa opiskelu-, toiminta- ja työkyvylle ja sen ylläpitämiselle sekä oppii kuvaamaan terveyspalvelujen asianmukaista käyttöä.</w:t>
            </w:r>
          </w:p>
          <w:p w:rsidRPr="00B05D93" w:rsidR="00FC2665" w:rsidP="00210C78" w:rsidRDefault="00FC2665" w14:paraId="3A4F3E2B" w14:textId="77777777">
            <w:pPr>
              <w:spacing w:after="0" w:line="240" w:lineRule="auto"/>
              <w:contextualSpacing/>
              <w:rPr>
                <w:rFonts w:cstheme="minorHAnsi"/>
                <w:sz w:val="22"/>
                <w:szCs w:val="22"/>
              </w:rPr>
            </w:pPr>
            <w:r w:rsidRPr="00B05D93">
              <w:rPr>
                <w:rFonts w:cstheme="minorHAnsi"/>
                <w:sz w:val="22"/>
                <w:szCs w:val="22"/>
              </w:rPr>
              <w:t xml:space="preserve"> </w:t>
            </w:r>
          </w:p>
        </w:tc>
        <w:tc>
          <w:tcPr>
            <w:tcW w:w="2377" w:type="dxa"/>
            <w:tcMar>
              <w:top w:w="100" w:type="dxa"/>
              <w:left w:w="100" w:type="dxa"/>
              <w:bottom w:w="100" w:type="dxa"/>
              <w:right w:w="100" w:type="dxa"/>
            </w:tcMar>
          </w:tcPr>
          <w:p w:rsidRPr="00B05D93" w:rsidR="00FC2665" w:rsidP="00210C78" w:rsidRDefault="00FC2665" w14:paraId="0D10C600" w14:textId="77777777">
            <w:pPr>
              <w:spacing w:after="0" w:line="240" w:lineRule="auto"/>
              <w:ind w:right="100"/>
              <w:contextualSpacing/>
              <w:rPr>
                <w:rFonts w:cstheme="minorHAnsi"/>
                <w:sz w:val="22"/>
                <w:szCs w:val="22"/>
              </w:rPr>
            </w:pPr>
            <w:r w:rsidRPr="00B05D93">
              <w:rPr>
                <w:rFonts w:cstheme="minorHAnsi"/>
                <w:sz w:val="22"/>
                <w:szCs w:val="22"/>
              </w:rPr>
              <w:t>Työkyvyn edistämisen keinojen hahmottaminen</w:t>
            </w:r>
          </w:p>
          <w:p w:rsidRPr="00B05D93" w:rsidR="00FC2665" w:rsidP="00210C78" w:rsidRDefault="00FC2665" w14:paraId="5788A153" w14:textId="77777777">
            <w:pPr>
              <w:spacing w:after="0" w:line="240" w:lineRule="auto"/>
              <w:contextualSpacing/>
              <w:rPr>
                <w:rFonts w:cstheme="minorHAnsi"/>
                <w:sz w:val="22"/>
                <w:szCs w:val="22"/>
              </w:rPr>
            </w:pPr>
            <w:r w:rsidRPr="00B05D93">
              <w:rPr>
                <w:rFonts w:cstheme="minorHAnsi"/>
                <w:sz w:val="22"/>
                <w:szCs w:val="22"/>
              </w:rPr>
              <w:t xml:space="preserve"> </w:t>
            </w:r>
          </w:p>
        </w:tc>
        <w:tc>
          <w:tcPr>
            <w:tcW w:w="2655" w:type="dxa"/>
            <w:tcMar>
              <w:top w:w="100" w:type="dxa"/>
              <w:left w:w="100" w:type="dxa"/>
              <w:bottom w:w="100" w:type="dxa"/>
              <w:right w:w="100" w:type="dxa"/>
            </w:tcMar>
          </w:tcPr>
          <w:p w:rsidRPr="00B05D93" w:rsidR="00FC2665" w:rsidP="00210C78" w:rsidRDefault="00FC2665" w14:paraId="2FA1D741" w14:textId="77777777">
            <w:pPr>
              <w:spacing w:after="0" w:line="240" w:lineRule="auto"/>
              <w:contextualSpacing/>
              <w:rPr>
                <w:rFonts w:cstheme="minorHAnsi"/>
                <w:sz w:val="22"/>
                <w:szCs w:val="22"/>
              </w:rPr>
            </w:pPr>
            <w:r w:rsidRPr="00B05D93">
              <w:rPr>
                <w:rFonts w:cstheme="minorHAnsi"/>
                <w:sz w:val="22"/>
                <w:szCs w:val="22"/>
              </w:rPr>
              <w:t>Oppilas osaa nimetä tekijöitä, jotka vaikuttavat opiskelu-, toiminta- ja työkykyyn.</w:t>
            </w:r>
          </w:p>
          <w:p w:rsidRPr="00B05D93" w:rsidR="00FC2665" w:rsidP="00210C78" w:rsidRDefault="00FC2665" w14:paraId="6ECB93E1" w14:textId="77777777">
            <w:pPr>
              <w:spacing w:after="0" w:line="240" w:lineRule="auto"/>
              <w:contextualSpacing/>
              <w:rPr>
                <w:rFonts w:cstheme="minorHAnsi"/>
                <w:sz w:val="22"/>
                <w:szCs w:val="22"/>
              </w:rPr>
            </w:pPr>
            <w:r w:rsidRPr="00B05D93">
              <w:rPr>
                <w:rFonts w:cstheme="minorHAnsi"/>
                <w:sz w:val="22"/>
                <w:szCs w:val="22"/>
              </w:rPr>
              <w:t xml:space="preserve"> </w:t>
            </w:r>
          </w:p>
          <w:p w:rsidRPr="00B05D93" w:rsidR="00FC2665" w:rsidP="00210C78" w:rsidRDefault="00FC2665" w14:paraId="12F51295" w14:textId="77777777">
            <w:pPr>
              <w:spacing w:after="0" w:line="240" w:lineRule="auto"/>
              <w:contextualSpacing/>
              <w:rPr>
                <w:rFonts w:cstheme="minorHAnsi"/>
                <w:sz w:val="22"/>
                <w:szCs w:val="22"/>
              </w:rPr>
            </w:pPr>
            <w:r w:rsidRPr="00B05D93">
              <w:rPr>
                <w:rFonts w:cstheme="minorHAnsi"/>
                <w:sz w:val="22"/>
                <w:szCs w:val="22"/>
              </w:rPr>
              <w:t>Oppilas osaa nimetä oman koulun ja kunnan terveyspalveluja.</w:t>
            </w:r>
          </w:p>
        </w:tc>
        <w:tc>
          <w:tcPr>
            <w:tcW w:w="4192" w:type="dxa"/>
            <w:tcMar/>
          </w:tcPr>
          <w:p w:rsidRPr="00B05D93" w:rsidR="00FC2665" w:rsidP="00210C78" w:rsidRDefault="006A2D8D" w14:paraId="4E27FC86" w14:textId="77777777">
            <w:pPr>
              <w:spacing w:after="0" w:line="240" w:lineRule="auto"/>
              <w:contextualSpacing/>
              <w:rPr>
                <w:rFonts w:cstheme="minorHAnsi"/>
                <w:sz w:val="22"/>
                <w:szCs w:val="22"/>
              </w:rPr>
            </w:pPr>
            <w:r w:rsidRPr="00B05D93">
              <w:rPr>
                <w:rFonts w:cstheme="minorHAnsi"/>
                <w:sz w:val="22"/>
                <w:szCs w:val="22"/>
              </w:rPr>
              <w:t xml:space="preserve">Fyysisen, psyykkisen ja sosiaalisen terveyden osa-alueet. </w:t>
            </w:r>
          </w:p>
          <w:p w:rsidRPr="00B05D93" w:rsidR="006A2D8D" w:rsidP="00210C78" w:rsidRDefault="006A2D8D" w14:paraId="401E2F04" w14:textId="77777777">
            <w:pPr>
              <w:spacing w:after="0" w:line="240" w:lineRule="auto"/>
              <w:contextualSpacing/>
              <w:rPr>
                <w:rFonts w:cstheme="minorHAnsi"/>
                <w:sz w:val="22"/>
                <w:szCs w:val="22"/>
              </w:rPr>
            </w:pPr>
          </w:p>
          <w:p w:rsidRPr="00B05D93" w:rsidR="006A2D8D" w:rsidP="00210C78" w:rsidRDefault="00187706" w14:paraId="32BA51AD" w14:textId="495ECBF1">
            <w:pPr>
              <w:spacing w:after="0" w:line="240" w:lineRule="auto"/>
              <w:contextualSpacing/>
              <w:rPr>
                <w:rFonts w:cstheme="minorHAnsi"/>
                <w:sz w:val="22"/>
                <w:szCs w:val="22"/>
              </w:rPr>
            </w:pPr>
            <w:r w:rsidRPr="00B05D93">
              <w:rPr>
                <w:rFonts w:cstheme="minorHAnsi"/>
                <w:sz w:val="22"/>
                <w:szCs w:val="22"/>
              </w:rPr>
              <w:t>Tiedonhakutehtävä, jossa etsitään lähipalveluiden yhteystiedot, mahdolliset aukioloajat j</w:t>
            </w:r>
            <w:r w:rsidRPr="00B05D93" w:rsidR="00CC6D18">
              <w:rPr>
                <w:rFonts w:cstheme="minorHAnsi"/>
                <w:sz w:val="22"/>
                <w:szCs w:val="22"/>
              </w:rPr>
              <w:t xml:space="preserve">a vastuualueet. </w:t>
            </w:r>
            <w:r w:rsidRPr="00B05D93">
              <w:rPr>
                <w:rFonts w:cstheme="minorHAnsi"/>
                <w:sz w:val="22"/>
                <w:szCs w:val="22"/>
              </w:rPr>
              <w:t xml:space="preserve"> </w:t>
            </w:r>
          </w:p>
        </w:tc>
      </w:tr>
      <w:tr w:rsidRPr="00B05D93" w:rsidR="00816943" w:rsidTr="0CB208A1" w14:paraId="478B38EA" w14:textId="30DC1F75">
        <w:trPr>
          <w:trHeight w:val="2891"/>
        </w:trPr>
        <w:tc>
          <w:tcPr>
            <w:tcW w:w="2617" w:type="dxa"/>
            <w:tcMar>
              <w:top w:w="100" w:type="dxa"/>
              <w:left w:w="100" w:type="dxa"/>
              <w:bottom w:w="100" w:type="dxa"/>
              <w:right w:w="100" w:type="dxa"/>
            </w:tcMar>
          </w:tcPr>
          <w:p w:rsidRPr="00B05D93" w:rsidR="00FC2665" w:rsidP="00210C78" w:rsidRDefault="00FC2665" w14:paraId="679444E0" w14:textId="77777777">
            <w:pPr>
              <w:spacing w:after="0" w:line="240" w:lineRule="auto"/>
              <w:ind w:right="100"/>
              <w:contextualSpacing/>
              <w:rPr>
                <w:rFonts w:cstheme="minorHAnsi"/>
                <w:sz w:val="22"/>
                <w:szCs w:val="22"/>
              </w:rPr>
            </w:pPr>
            <w:r w:rsidRPr="00B05D93">
              <w:rPr>
                <w:rFonts w:cstheme="minorHAnsi"/>
                <w:sz w:val="22"/>
                <w:szCs w:val="22"/>
              </w:rPr>
              <w:t>T11 ohjata oppilasta ymmärtämään ja arvioimaan perheen ja omaan elämänpiiriin kuuluvien ihmisten ja yhteisöjen edustamia terveyskäsityksiä, tunnistamaan niiden merkitystä itselle sekä muodostamaan kuvaa itselle sopivista oppimisen keinoista.</w:t>
            </w:r>
          </w:p>
        </w:tc>
        <w:tc>
          <w:tcPr>
            <w:tcW w:w="977" w:type="dxa"/>
            <w:tcMar>
              <w:top w:w="100" w:type="dxa"/>
              <w:left w:w="100" w:type="dxa"/>
              <w:bottom w:w="100" w:type="dxa"/>
              <w:right w:w="100" w:type="dxa"/>
            </w:tcMar>
          </w:tcPr>
          <w:p w:rsidRPr="00B05D93" w:rsidR="00FC2665" w:rsidP="00210C78" w:rsidRDefault="00FC2665" w14:paraId="3E2340A2" w14:textId="77777777">
            <w:pPr>
              <w:spacing w:after="0" w:line="240" w:lineRule="auto"/>
              <w:ind w:right="100"/>
              <w:contextualSpacing/>
              <w:rPr>
                <w:rFonts w:cstheme="minorHAnsi"/>
                <w:sz w:val="22"/>
                <w:szCs w:val="22"/>
              </w:rPr>
            </w:pPr>
            <w:r w:rsidRPr="00B05D93">
              <w:rPr>
                <w:rFonts w:cstheme="minorHAnsi"/>
                <w:sz w:val="22"/>
                <w:szCs w:val="22"/>
              </w:rPr>
              <w:t>S1–S3</w:t>
            </w:r>
          </w:p>
        </w:tc>
        <w:tc>
          <w:tcPr>
            <w:tcW w:w="2491" w:type="dxa"/>
            <w:tcMar>
              <w:top w:w="100" w:type="dxa"/>
              <w:left w:w="100" w:type="dxa"/>
              <w:bottom w:w="100" w:type="dxa"/>
              <w:right w:w="100" w:type="dxa"/>
            </w:tcMar>
          </w:tcPr>
          <w:p w:rsidRPr="00B05D93" w:rsidR="00FC2665" w:rsidP="00210C78" w:rsidRDefault="00FC2665" w14:paraId="697358F9" w14:textId="77777777">
            <w:pPr>
              <w:spacing w:after="0" w:line="240" w:lineRule="auto"/>
              <w:ind w:right="100"/>
              <w:contextualSpacing/>
              <w:rPr>
                <w:rFonts w:cstheme="minorHAnsi"/>
                <w:sz w:val="22"/>
                <w:szCs w:val="22"/>
              </w:rPr>
            </w:pPr>
            <w:r w:rsidRPr="00B05D93">
              <w:rPr>
                <w:rFonts w:cstheme="minorHAnsi"/>
                <w:sz w:val="22"/>
                <w:szCs w:val="22"/>
              </w:rPr>
              <w:t>Oppilas oppii tarkastelemaan perheen ja omaan elämänpiiriin kuuluvien</w:t>
            </w:r>
          </w:p>
          <w:p w:rsidRPr="00B05D93" w:rsidR="00FC2665" w:rsidP="00210C78" w:rsidRDefault="00FC2665" w14:paraId="0929254C" w14:textId="77777777">
            <w:pPr>
              <w:spacing w:after="0" w:line="240" w:lineRule="auto"/>
              <w:ind w:right="100"/>
              <w:contextualSpacing/>
              <w:rPr>
                <w:rFonts w:cstheme="minorHAnsi"/>
                <w:sz w:val="22"/>
                <w:szCs w:val="22"/>
              </w:rPr>
            </w:pPr>
            <w:r w:rsidRPr="00B05D93">
              <w:rPr>
                <w:rFonts w:cstheme="minorHAnsi"/>
                <w:sz w:val="22"/>
                <w:szCs w:val="22"/>
              </w:rPr>
              <w:t>ihmisten ja yhteisöjen edustamia terveyskäsityksiä, tunnistaa niiden merkitystä itselle sekä oppii muodostamaan kuvaa itselle sopivista oppimisen keinoista.</w:t>
            </w:r>
          </w:p>
        </w:tc>
        <w:tc>
          <w:tcPr>
            <w:tcW w:w="2377" w:type="dxa"/>
            <w:tcMar>
              <w:top w:w="100" w:type="dxa"/>
              <w:left w:w="100" w:type="dxa"/>
              <w:bottom w:w="100" w:type="dxa"/>
              <w:right w:w="100" w:type="dxa"/>
            </w:tcMar>
          </w:tcPr>
          <w:p w:rsidRPr="00B05D93" w:rsidR="00FC2665" w:rsidP="00210C78" w:rsidRDefault="00FC2665" w14:paraId="2F5AD1F4" w14:textId="5EC09F6E">
            <w:pPr>
              <w:spacing w:after="0" w:line="240" w:lineRule="auto"/>
              <w:ind w:right="100"/>
              <w:contextualSpacing/>
              <w:rPr>
                <w:sz w:val="22"/>
                <w:szCs w:val="22"/>
              </w:rPr>
            </w:pPr>
            <w:r w:rsidRPr="00B05D93">
              <w:rPr>
                <w:sz w:val="22"/>
                <w:szCs w:val="22"/>
              </w:rPr>
              <w:t>Terveyskäsitysten arviointi sekä oppimista edistävien tekijöiden hahmottaminen</w:t>
            </w:r>
          </w:p>
        </w:tc>
        <w:tc>
          <w:tcPr>
            <w:tcW w:w="2655" w:type="dxa"/>
            <w:tcMar>
              <w:top w:w="100" w:type="dxa"/>
              <w:left w:w="100" w:type="dxa"/>
              <w:bottom w:w="100" w:type="dxa"/>
              <w:right w:w="100" w:type="dxa"/>
            </w:tcMar>
          </w:tcPr>
          <w:p w:rsidRPr="00B05D93" w:rsidR="00FC2665" w:rsidP="00210C78" w:rsidRDefault="00FC2665" w14:paraId="4A354B91" w14:textId="77777777">
            <w:pPr>
              <w:spacing w:after="0" w:line="240" w:lineRule="auto"/>
              <w:contextualSpacing/>
              <w:rPr>
                <w:rFonts w:cstheme="minorHAnsi"/>
                <w:sz w:val="22"/>
                <w:szCs w:val="22"/>
              </w:rPr>
            </w:pPr>
            <w:r w:rsidRPr="00B05D93">
              <w:rPr>
                <w:rFonts w:cstheme="minorHAnsi"/>
                <w:sz w:val="22"/>
                <w:szCs w:val="22"/>
              </w:rPr>
              <w:t>Oppilas osaa kuvata esimerkin avulla, miten perhe, lähiyhteisöt tai muut sosiaaliset yhteisöt vaikuttavat käsityksiin terveydestä.</w:t>
            </w:r>
          </w:p>
          <w:p w:rsidRPr="00B05D93" w:rsidR="00FC2665" w:rsidP="00210C78" w:rsidRDefault="00FC2665" w14:paraId="79A0CFEA" w14:textId="77777777">
            <w:pPr>
              <w:spacing w:after="0" w:line="240" w:lineRule="auto"/>
              <w:contextualSpacing/>
              <w:rPr>
                <w:rFonts w:cstheme="minorHAnsi"/>
                <w:sz w:val="22"/>
                <w:szCs w:val="22"/>
              </w:rPr>
            </w:pPr>
            <w:r w:rsidRPr="00B05D93">
              <w:rPr>
                <w:rFonts w:cstheme="minorHAnsi"/>
                <w:sz w:val="22"/>
                <w:szCs w:val="22"/>
              </w:rPr>
              <w:t xml:space="preserve"> </w:t>
            </w:r>
          </w:p>
          <w:p w:rsidRPr="00B05D93" w:rsidR="00FC2665" w:rsidP="00210C78" w:rsidRDefault="00FC2665" w14:paraId="295546D6" w14:textId="77777777">
            <w:pPr>
              <w:spacing w:after="0" w:line="240" w:lineRule="auto"/>
              <w:contextualSpacing/>
              <w:rPr>
                <w:rFonts w:cstheme="minorHAnsi"/>
                <w:sz w:val="22"/>
                <w:szCs w:val="22"/>
              </w:rPr>
            </w:pPr>
            <w:r w:rsidRPr="00B05D93">
              <w:rPr>
                <w:rFonts w:cstheme="minorHAnsi"/>
                <w:sz w:val="22"/>
                <w:szCs w:val="22"/>
              </w:rPr>
              <w:t>Oppilas osaa nimetä omaa oppimistaan tukevan tekijän.</w:t>
            </w:r>
          </w:p>
        </w:tc>
        <w:tc>
          <w:tcPr>
            <w:tcW w:w="4192" w:type="dxa"/>
            <w:tcMar/>
          </w:tcPr>
          <w:p w:rsidRPr="00B05D93" w:rsidR="00092183" w:rsidP="00210C78" w:rsidRDefault="003A1C96" w14:paraId="701E2470" w14:textId="53F090E6">
            <w:pPr>
              <w:spacing w:after="0" w:line="240" w:lineRule="auto"/>
              <w:contextualSpacing/>
              <w:rPr>
                <w:rFonts w:cstheme="minorHAnsi"/>
                <w:sz w:val="22"/>
                <w:szCs w:val="22"/>
              </w:rPr>
            </w:pPr>
            <w:r w:rsidRPr="00B05D93">
              <w:rPr>
                <w:rFonts w:cstheme="minorHAnsi"/>
                <w:sz w:val="22"/>
                <w:szCs w:val="22"/>
              </w:rPr>
              <w:t xml:space="preserve">Keskustelutehtävät ryhmissä liittyen </w:t>
            </w:r>
            <w:r w:rsidRPr="00B05D93" w:rsidR="002328EF">
              <w:rPr>
                <w:rFonts w:cstheme="minorHAnsi"/>
                <w:sz w:val="22"/>
                <w:szCs w:val="22"/>
              </w:rPr>
              <w:t>oppilaiden</w:t>
            </w:r>
            <w:r w:rsidRPr="00B05D93" w:rsidR="00E04FAF">
              <w:rPr>
                <w:rFonts w:cstheme="minorHAnsi"/>
                <w:sz w:val="22"/>
                <w:szCs w:val="22"/>
              </w:rPr>
              <w:t xml:space="preserve"> kotiväen</w:t>
            </w:r>
            <w:r w:rsidRPr="00B05D93" w:rsidR="002328EF">
              <w:rPr>
                <w:rFonts w:cstheme="minorHAnsi"/>
                <w:sz w:val="22"/>
                <w:szCs w:val="22"/>
              </w:rPr>
              <w:t xml:space="preserve"> terveyskäsityksiin</w:t>
            </w:r>
            <w:r w:rsidRPr="00B05D93" w:rsidR="00E04FAF">
              <w:rPr>
                <w:rFonts w:cstheme="minorHAnsi"/>
                <w:sz w:val="22"/>
                <w:szCs w:val="22"/>
              </w:rPr>
              <w:t xml:space="preserve"> (syöminen, liikkuminen, sosiaalisten suhteiden ylläpito, uni, päihteet). </w:t>
            </w:r>
          </w:p>
          <w:p w:rsidRPr="00B05D93" w:rsidR="00092183" w:rsidP="00210C78" w:rsidRDefault="00092183" w14:paraId="00B05977" w14:textId="77777777">
            <w:pPr>
              <w:spacing w:after="0" w:line="240" w:lineRule="auto"/>
              <w:contextualSpacing/>
              <w:rPr>
                <w:rFonts w:cstheme="minorHAnsi"/>
                <w:sz w:val="22"/>
                <w:szCs w:val="22"/>
              </w:rPr>
            </w:pPr>
          </w:p>
          <w:p w:rsidRPr="00B05D93" w:rsidR="00FC2665" w:rsidP="00210C78" w:rsidRDefault="0019363D" w14:paraId="064F053F" w14:textId="77777777">
            <w:pPr>
              <w:spacing w:after="0" w:line="240" w:lineRule="auto"/>
              <w:contextualSpacing/>
              <w:rPr>
                <w:rFonts w:cstheme="minorHAnsi"/>
                <w:sz w:val="22"/>
                <w:szCs w:val="22"/>
              </w:rPr>
            </w:pPr>
            <w:r w:rsidRPr="00B05D93">
              <w:rPr>
                <w:rFonts w:cstheme="minorHAnsi"/>
                <w:sz w:val="22"/>
                <w:szCs w:val="22"/>
              </w:rPr>
              <w:t>Hyödynnetään olemassa olevaa tietoa eri yhteisö</w:t>
            </w:r>
            <w:r w:rsidRPr="00B05D93" w:rsidR="00E04FAF">
              <w:rPr>
                <w:rFonts w:cstheme="minorHAnsi"/>
                <w:sz w:val="22"/>
                <w:szCs w:val="22"/>
              </w:rPr>
              <w:t xml:space="preserve">jen kulttuurisista terveyskäsityksistä. </w:t>
            </w:r>
          </w:p>
          <w:p w:rsidRPr="00B05D93" w:rsidR="00904CD6" w:rsidP="00210C78" w:rsidRDefault="00904CD6" w14:paraId="3087A142" w14:textId="77777777">
            <w:pPr>
              <w:spacing w:after="0" w:line="240" w:lineRule="auto"/>
              <w:contextualSpacing/>
              <w:rPr>
                <w:rFonts w:cstheme="minorHAnsi"/>
                <w:sz w:val="22"/>
                <w:szCs w:val="22"/>
              </w:rPr>
            </w:pPr>
          </w:p>
          <w:p w:rsidRPr="00B05D93" w:rsidR="002C07A6" w:rsidP="00210C78" w:rsidRDefault="00FC7A8A" w14:paraId="07AFA708" w14:textId="43A3BD6E">
            <w:pPr>
              <w:spacing w:after="0" w:line="240" w:lineRule="auto"/>
              <w:contextualSpacing/>
              <w:rPr>
                <w:rFonts w:cstheme="minorHAnsi"/>
                <w:sz w:val="22"/>
                <w:szCs w:val="22"/>
              </w:rPr>
            </w:pPr>
            <w:r w:rsidRPr="00B05D93">
              <w:rPr>
                <w:rFonts w:cstheme="minorHAnsi"/>
                <w:sz w:val="22"/>
                <w:szCs w:val="22"/>
              </w:rPr>
              <w:t>Oppimista tukevia tekijöitä voi</w:t>
            </w:r>
            <w:r w:rsidRPr="00B05D93" w:rsidR="00C23638">
              <w:rPr>
                <w:rFonts w:cstheme="minorHAnsi"/>
                <w:sz w:val="22"/>
                <w:szCs w:val="22"/>
              </w:rPr>
              <w:t xml:space="preserve"> mahdollisuuksien mukaan</w:t>
            </w:r>
            <w:r w:rsidRPr="00B05D93">
              <w:rPr>
                <w:rFonts w:cstheme="minorHAnsi"/>
                <w:sz w:val="22"/>
                <w:szCs w:val="22"/>
              </w:rPr>
              <w:t xml:space="preserve"> kerätä esim. sanapilveen isommassa porukassa. </w:t>
            </w:r>
          </w:p>
        </w:tc>
      </w:tr>
      <w:tr w:rsidRPr="00B05D93" w:rsidR="00407824" w:rsidTr="0CB208A1" w14:paraId="76EA06A1" w14:textId="78A79FBA">
        <w:trPr>
          <w:trHeight w:val="284"/>
        </w:trPr>
        <w:tc>
          <w:tcPr>
            <w:tcW w:w="2617" w:type="dxa"/>
            <w:tcMar>
              <w:top w:w="100" w:type="dxa"/>
              <w:left w:w="100" w:type="dxa"/>
              <w:bottom w:w="100" w:type="dxa"/>
              <w:right w:w="100" w:type="dxa"/>
            </w:tcMar>
          </w:tcPr>
          <w:p w:rsidRPr="00B05D93" w:rsidR="00FC2665" w:rsidP="00210C78" w:rsidRDefault="00FC2665" w14:paraId="43133330" w14:textId="77777777">
            <w:pPr>
              <w:spacing w:after="0" w:line="240" w:lineRule="auto"/>
              <w:ind w:right="100"/>
              <w:contextualSpacing/>
              <w:rPr>
                <w:rFonts w:cstheme="minorHAnsi"/>
                <w:sz w:val="22"/>
                <w:szCs w:val="22"/>
              </w:rPr>
            </w:pPr>
            <w:r w:rsidRPr="00B05D93">
              <w:rPr>
                <w:rFonts w:cstheme="minorHAnsi"/>
                <w:sz w:val="22"/>
                <w:szCs w:val="22"/>
              </w:rPr>
              <w:lastRenderedPageBreak/>
              <w:t>T12 tukea oppilaan valmiuksia arvioida kriittisesti terveyteen ja sairauteen liittyvää viestintää sekä eritellä yksilön oikeuksia, vastuita ja vaikuttamiskeinoja terveyttä ja turvallisuutta koskevissa asioissa omassa oppimisympäristössä ja lähiyhteisöissä</w:t>
            </w:r>
          </w:p>
        </w:tc>
        <w:tc>
          <w:tcPr>
            <w:tcW w:w="977" w:type="dxa"/>
            <w:tcMar>
              <w:top w:w="100" w:type="dxa"/>
              <w:left w:w="100" w:type="dxa"/>
              <w:bottom w:w="100" w:type="dxa"/>
              <w:right w:w="100" w:type="dxa"/>
            </w:tcMar>
          </w:tcPr>
          <w:p w:rsidRPr="00B05D93" w:rsidR="00FC2665" w:rsidP="00210C78" w:rsidRDefault="00FC2665" w14:paraId="529F8B88" w14:textId="77777777">
            <w:pPr>
              <w:spacing w:after="0" w:line="240" w:lineRule="auto"/>
              <w:ind w:right="100"/>
              <w:contextualSpacing/>
              <w:rPr>
                <w:rFonts w:cstheme="minorHAnsi"/>
                <w:sz w:val="22"/>
                <w:szCs w:val="22"/>
              </w:rPr>
            </w:pPr>
            <w:r w:rsidRPr="00B05D93">
              <w:rPr>
                <w:rFonts w:cstheme="minorHAnsi"/>
                <w:sz w:val="22"/>
                <w:szCs w:val="22"/>
              </w:rPr>
              <w:t>S3</w:t>
            </w:r>
          </w:p>
        </w:tc>
        <w:tc>
          <w:tcPr>
            <w:tcW w:w="2491" w:type="dxa"/>
            <w:tcMar>
              <w:top w:w="100" w:type="dxa"/>
              <w:left w:w="100" w:type="dxa"/>
              <w:bottom w:w="100" w:type="dxa"/>
              <w:right w:w="100" w:type="dxa"/>
            </w:tcMar>
          </w:tcPr>
          <w:p w:rsidRPr="00B05D93" w:rsidR="00FC2665" w:rsidP="00210C78" w:rsidRDefault="00FC2665" w14:paraId="4DB8CB1B" w14:textId="77777777">
            <w:pPr>
              <w:spacing w:after="0" w:line="240" w:lineRule="auto"/>
              <w:ind w:right="100"/>
              <w:contextualSpacing/>
              <w:rPr>
                <w:rFonts w:cstheme="minorHAnsi"/>
                <w:sz w:val="22"/>
                <w:szCs w:val="22"/>
              </w:rPr>
            </w:pPr>
            <w:r w:rsidRPr="00B05D93">
              <w:rPr>
                <w:rFonts w:cstheme="minorHAnsi"/>
                <w:sz w:val="22"/>
                <w:szCs w:val="22"/>
              </w:rPr>
              <w:t>Oppilas oppii arvioimaan kriittisesti terveyteen ja sairauteen liittyvää viestintää sekä oppii tarkastelemaan yksilön oikeuksia, vastuita ja vaikuttamiskeinoja terveyttä ja turvallisuutta koskevissa asioissa omassa oppimisympäristössä ja lähiyhteisöissä.</w:t>
            </w:r>
          </w:p>
          <w:p w:rsidRPr="00B05D93" w:rsidR="00FC2665" w:rsidP="00210C78" w:rsidRDefault="00FC2665" w14:paraId="45549776" w14:textId="77777777">
            <w:pPr>
              <w:spacing w:after="0" w:line="240" w:lineRule="auto"/>
              <w:contextualSpacing/>
              <w:rPr>
                <w:rFonts w:cstheme="minorHAnsi"/>
                <w:sz w:val="22"/>
                <w:szCs w:val="22"/>
              </w:rPr>
            </w:pPr>
            <w:r w:rsidRPr="00B05D93">
              <w:rPr>
                <w:rFonts w:cstheme="minorHAnsi"/>
                <w:sz w:val="22"/>
                <w:szCs w:val="22"/>
              </w:rPr>
              <w:t xml:space="preserve"> </w:t>
            </w:r>
          </w:p>
        </w:tc>
        <w:tc>
          <w:tcPr>
            <w:tcW w:w="2377" w:type="dxa"/>
            <w:tcMar>
              <w:top w:w="100" w:type="dxa"/>
              <w:left w:w="100" w:type="dxa"/>
              <w:bottom w:w="100" w:type="dxa"/>
              <w:right w:w="100" w:type="dxa"/>
            </w:tcMar>
          </w:tcPr>
          <w:p w:rsidRPr="00B05D93" w:rsidR="00FC2665" w:rsidP="00210C78" w:rsidRDefault="00FC2665" w14:paraId="59435CBD" w14:textId="77777777">
            <w:pPr>
              <w:spacing w:after="0" w:line="240" w:lineRule="auto"/>
              <w:contextualSpacing/>
              <w:rPr>
                <w:rFonts w:cstheme="minorHAnsi"/>
                <w:sz w:val="22"/>
                <w:szCs w:val="22"/>
              </w:rPr>
            </w:pPr>
            <w:r w:rsidRPr="00B05D93">
              <w:rPr>
                <w:rFonts w:cstheme="minorHAnsi"/>
                <w:sz w:val="22"/>
                <w:szCs w:val="22"/>
              </w:rPr>
              <w:t>Terveyteen liittyvän viestinnän arviointi sekä terveyteen ja turvallisuuteen vaikuttavien keinojen tunteminen</w:t>
            </w:r>
          </w:p>
        </w:tc>
        <w:tc>
          <w:tcPr>
            <w:tcW w:w="2655" w:type="dxa"/>
            <w:tcMar>
              <w:top w:w="100" w:type="dxa"/>
              <w:left w:w="100" w:type="dxa"/>
              <w:bottom w:w="100" w:type="dxa"/>
              <w:right w:w="100" w:type="dxa"/>
            </w:tcMar>
          </w:tcPr>
          <w:p w:rsidRPr="00B05D93" w:rsidR="00FC2665" w:rsidP="00210C78" w:rsidRDefault="00FC2665" w14:paraId="08499475" w14:textId="77777777">
            <w:pPr>
              <w:spacing w:after="0" w:line="240" w:lineRule="auto"/>
              <w:contextualSpacing/>
              <w:rPr>
                <w:rFonts w:cstheme="minorHAnsi"/>
                <w:sz w:val="22"/>
                <w:szCs w:val="22"/>
              </w:rPr>
            </w:pPr>
            <w:r w:rsidRPr="00B05D93">
              <w:rPr>
                <w:rFonts w:cstheme="minorHAnsi"/>
                <w:sz w:val="22"/>
                <w:szCs w:val="22"/>
              </w:rPr>
              <w:t>Oppilas osaa nimetä yksittäisen terveysviestinnän vaikutuskeinon tai luotettavuuteen vaikuttavan tekijän.</w:t>
            </w:r>
          </w:p>
          <w:p w:rsidRPr="00B05D93" w:rsidR="00FC2665" w:rsidP="00210C78" w:rsidRDefault="00FC2665" w14:paraId="09D0FF29" w14:textId="77777777">
            <w:pPr>
              <w:spacing w:after="0" w:line="240" w:lineRule="auto"/>
              <w:contextualSpacing/>
              <w:rPr>
                <w:rFonts w:cstheme="minorHAnsi"/>
                <w:sz w:val="22"/>
                <w:szCs w:val="22"/>
              </w:rPr>
            </w:pPr>
            <w:r w:rsidRPr="00B05D93">
              <w:rPr>
                <w:rFonts w:cstheme="minorHAnsi"/>
                <w:sz w:val="22"/>
                <w:szCs w:val="22"/>
              </w:rPr>
              <w:t xml:space="preserve"> </w:t>
            </w:r>
          </w:p>
          <w:p w:rsidRPr="00B05D93" w:rsidR="00FC2665" w:rsidP="00210C78" w:rsidRDefault="00FC2665" w14:paraId="31D97347" w14:textId="77777777">
            <w:pPr>
              <w:spacing w:after="0" w:line="240" w:lineRule="auto"/>
              <w:contextualSpacing/>
              <w:rPr>
                <w:rFonts w:cstheme="minorHAnsi"/>
                <w:sz w:val="22"/>
                <w:szCs w:val="22"/>
              </w:rPr>
            </w:pPr>
            <w:r w:rsidRPr="00B05D93">
              <w:rPr>
                <w:rFonts w:cstheme="minorHAnsi"/>
                <w:sz w:val="22"/>
                <w:szCs w:val="22"/>
              </w:rPr>
              <w:t>Oppilas osaa nimetä jonkin elämäntapojen seurauksen yhteiskunnalle tai ympäristön terveydelle tai turvallisuudelle.</w:t>
            </w:r>
          </w:p>
          <w:p w:rsidRPr="00B05D93" w:rsidR="00FC2665" w:rsidP="00210C78" w:rsidRDefault="00FC2665" w14:paraId="7E284B26" w14:textId="77777777">
            <w:pPr>
              <w:spacing w:after="0" w:line="240" w:lineRule="auto"/>
              <w:contextualSpacing/>
              <w:rPr>
                <w:rFonts w:cstheme="minorHAnsi"/>
                <w:sz w:val="22"/>
                <w:szCs w:val="22"/>
              </w:rPr>
            </w:pPr>
            <w:r w:rsidRPr="00B05D93">
              <w:rPr>
                <w:rFonts w:cstheme="minorHAnsi"/>
                <w:sz w:val="22"/>
                <w:szCs w:val="22"/>
              </w:rPr>
              <w:t xml:space="preserve"> </w:t>
            </w:r>
          </w:p>
          <w:p w:rsidRPr="00B05D93" w:rsidR="00FC2665" w:rsidP="00210C78" w:rsidRDefault="00FC2665" w14:paraId="6AD7E145" w14:textId="77777777">
            <w:pPr>
              <w:spacing w:after="0" w:line="240" w:lineRule="auto"/>
              <w:contextualSpacing/>
              <w:rPr>
                <w:rFonts w:cstheme="minorHAnsi"/>
                <w:sz w:val="22"/>
                <w:szCs w:val="22"/>
              </w:rPr>
            </w:pPr>
            <w:r w:rsidRPr="00B05D93">
              <w:rPr>
                <w:rFonts w:cstheme="minorHAnsi"/>
                <w:sz w:val="22"/>
                <w:szCs w:val="22"/>
              </w:rPr>
              <w:t>Oppilas osaa nimetä jonkin keinon, miten terveyteen ja turvallisuuteen voidaan vaikuttaa lähiyhteisössä.</w:t>
            </w:r>
          </w:p>
        </w:tc>
        <w:tc>
          <w:tcPr>
            <w:tcW w:w="4192" w:type="dxa"/>
            <w:tcMar/>
          </w:tcPr>
          <w:p w:rsidRPr="00B05D93" w:rsidR="00FC2665" w:rsidP="00210C78" w:rsidRDefault="00104BE9" w14:paraId="0F75204C" w14:textId="77777777">
            <w:pPr>
              <w:spacing w:after="0" w:line="240" w:lineRule="auto"/>
              <w:contextualSpacing/>
              <w:rPr>
                <w:rFonts w:cstheme="minorHAnsi"/>
                <w:sz w:val="22"/>
                <w:szCs w:val="22"/>
              </w:rPr>
            </w:pPr>
            <w:r w:rsidRPr="00B05D93">
              <w:rPr>
                <w:rFonts w:cstheme="minorHAnsi"/>
                <w:sz w:val="22"/>
                <w:szCs w:val="22"/>
              </w:rPr>
              <w:t xml:space="preserve">Voidaan tarkastella esim. erilaisten terveystuotteiden mainoksia. Pohdinnassa huomioidaan taustalla oleva instituutio ja sen luotettavuus. </w:t>
            </w:r>
          </w:p>
          <w:p w:rsidRPr="00B05D93" w:rsidR="00BC467E" w:rsidP="00210C78" w:rsidRDefault="00BC467E" w14:paraId="00A5A61E" w14:textId="77777777">
            <w:pPr>
              <w:spacing w:after="0" w:line="240" w:lineRule="auto"/>
              <w:contextualSpacing/>
              <w:rPr>
                <w:rFonts w:cstheme="minorHAnsi"/>
                <w:sz w:val="22"/>
                <w:szCs w:val="22"/>
              </w:rPr>
            </w:pPr>
          </w:p>
          <w:p w:rsidRPr="00B05D93" w:rsidR="00BC467E" w:rsidP="00210C78" w:rsidRDefault="001279B9" w14:paraId="4C45240B" w14:textId="77777777">
            <w:pPr>
              <w:spacing w:after="0" w:line="240" w:lineRule="auto"/>
              <w:contextualSpacing/>
              <w:rPr>
                <w:rFonts w:cstheme="minorHAnsi"/>
                <w:sz w:val="22"/>
                <w:szCs w:val="22"/>
              </w:rPr>
            </w:pPr>
            <w:r w:rsidRPr="00B05D93">
              <w:rPr>
                <w:rFonts w:cstheme="minorHAnsi"/>
                <w:sz w:val="22"/>
                <w:szCs w:val="22"/>
              </w:rPr>
              <w:t xml:space="preserve">Erilaisia elämäntapoja kuvattuna esim. kuvin, lyhyin tekstein. Oppilas </w:t>
            </w:r>
            <w:r w:rsidRPr="00B05D93" w:rsidR="002F2A54">
              <w:rPr>
                <w:rFonts w:cstheme="minorHAnsi"/>
                <w:sz w:val="22"/>
                <w:szCs w:val="22"/>
              </w:rPr>
              <w:t>kertoo mitä seurauksia näillä voisi olla. Esim. tupakointi, liikunnan harrastaminen, säännölliset ruokailuajat, hampaiden pesu</w:t>
            </w:r>
            <w:r w:rsidRPr="00B05D93" w:rsidR="007A6BE7">
              <w:rPr>
                <w:rFonts w:cstheme="minorHAnsi"/>
                <w:sz w:val="22"/>
                <w:szCs w:val="22"/>
              </w:rPr>
              <w:t xml:space="preserve">. </w:t>
            </w:r>
          </w:p>
          <w:p w:rsidRPr="00B05D93" w:rsidR="007A6BE7" w:rsidP="00210C78" w:rsidRDefault="007A6BE7" w14:paraId="61E016A0" w14:textId="77777777">
            <w:pPr>
              <w:spacing w:after="0" w:line="240" w:lineRule="auto"/>
              <w:contextualSpacing/>
              <w:rPr>
                <w:rFonts w:cstheme="minorHAnsi"/>
                <w:sz w:val="22"/>
                <w:szCs w:val="22"/>
              </w:rPr>
            </w:pPr>
          </w:p>
          <w:p w:rsidRPr="00B05D93" w:rsidR="007A6BE7" w:rsidP="00210C78" w:rsidRDefault="00C53F8C" w14:paraId="51A7A582" w14:textId="3AA6BF88">
            <w:pPr>
              <w:spacing w:after="0" w:line="240" w:lineRule="auto"/>
              <w:contextualSpacing/>
              <w:rPr>
                <w:rFonts w:cstheme="minorHAnsi"/>
                <w:sz w:val="22"/>
                <w:szCs w:val="22"/>
              </w:rPr>
            </w:pPr>
            <w:r w:rsidRPr="00B05D93">
              <w:rPr>
                <w:rFonts w:cstheme="minorHAnsi"/>
                <w:sz w:val="22"/>
                <w:szCs w:val="22"/>
              </w:rPr>
              <w:t xml:space="preserve">Otetaan huomioon fyysinen, psyykkinen ja sosiaalinen terveys ja turvallisuus. </w:t>
            </w:r>
          </w:p>
        </w:tc>
      </w:tr>
    </w:tbl>
    <w:p w:rsidRPr="00B05D93" w:rsidR="00BB41A8" w:rsidP="00210C78" w:rsidRDefault="00BB41A8" w14:paraId="5462928A" w14:textId="77777777">
      <w:pPr>
        <w:spacing w:after="0" w:line="240" w:lineRule="auto"/>
        <w:rPr>
          <w:sz w:val="22"/>
          <w:szCs w:val="22"/>
        </w:rPr>
      </w:pPr>
    </w:p>
    <w:sectPr w:rsidRPr="00B05D93" w:rsidR="00BB41A8" w:rsidSect="00B05D93">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79F" w:rsidP="00733949" w:rsidRDefault="005E479F" w14:paraId="2BDA9681" w14:textId="77777777">
      <w:pPr>
        <w:spacing w:after="0" w:line="240" w:lineRule="auto"/>
      </w:pPr>
      <w:r>
        <w:separator/>
      </w:r>
    </w:p>
  </w:endnote>
  <w:endnote w:type="continuationSeparator" w:id="0">
    <w:p w:rsidR="005E479F" w:rsidP="00733949" w:rsidRDefault="005E479F" w14:paraId="71F9B5E0" w14:textId="77777777">
      <w:pPr>
        <w:spacing w:after="0" w:line="240" w:lineRule="auto"/>
      </w:pPr>
      <w:r>
        <w:continuationSeparator/>
      </w:r>
    </w:p>
  </w:endnote>
  <w:endnote w:type="continuationNotice" w:id="1">
    <w:p w:rsidR="005E479F" w:rsidRDefault="005E479F" w14:paraId="468BD1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79F" w:rsidP="00733949" w:rsidRDefault="005E479F" w14:paraId="4F523AE8" w14:textId="77777777">
      <w:pPr>
        <w:spacing w:after="0" w:line="240" w:lineRule="auto"/>
      </w:pPr>
      <w:r>
        <w:separator/>
      </w:r>
    </w:p>
  </w:footnote>
  <w:footnote w:type="continuationSeparator" w:id="0">
    <w:p w:rsidR="005E479F" w:rsidP="00733949" w:rsidRDefault="005E479F" w14:paraId="51FC46DC" w14:textId="77777777">
      <w:pPr>
        <w:spacing w:after="0" w:line="240" w:lineRule="auto"/>
      </w:pPr>
      <w:r>
        <w:continuationSeparator/>
      </w:r>
    </w:p>
  </w:footnote>
  <w:footnote w:type="continuationNotice" w:id="1">
    <w:p w:rsidR="005E479F" w:rsidRDefault="005E479F" w14:paraId="2295967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5D93" w:rsidR="29B95E89" w:rsidP="29B95E89" w:rsidRDefault="29B95E89" w14:paraId="7467D293" w14:textId="74664B0A">
    <w:pPr>
      <w:pStyle w:val="Yltunniste"/>
      <w:rPr>
        <w:sz w:val="22"/>
        <w:szCs w:val="22"/>
      </w:rPr>
    </w:pPr>
    <w:r w:rsidRPr="00B05D93">
      <w:rPr>
        <w:sz w:val="22"/>
        <w:szCs w:val="22"/>
      </w:rPr>
      <w:fldChar w:fldCharType="begin"/>
    </w:r>
    <w:r w:rsidRPr="00B05D93">
      <w:rPr>
        <w:sz w:val="22"/>
        <w:szCs w:val="22"/>
      </w:rPr>
      <w:instrText>PAGE</w:instrText>
    </w:r>
    <w:r w:rsidRPr="00B05D93">
      <w:rPr>
        <w:sz w:val="22"/>
        <w:szCs w:val="22"/>
      </w:rPr>
      <w:fldChar w:fldCharType="separate"/>
    </w:r>
    <w:r w:rsidRPr="00B05D93" w:rsidR="00733949">
      <w:rPr>
        <w:noProof/>
        <w:sz w:val="22"/>
        <w:szCs w:val="22"/>
      </w:rPr>
      <w:t>1</w:t>
    </w:r>
    <w:r w:rsidRPr="00B05D93">
      <w:rPr>
        <w:sz w:val="22"/>
        <w:szCs w:val="22"/>
      </w:rPr>
      <w:fldChar w:fldCharType="end"/>
    </w:r>
    <w:r w:rsidRPr="00B05D93">
      <w:rPr>
        <w:sz w:val="22"/>
        <w:szCs w:val="22"/>
      </w:rPr>
      <w:t xml:space="preserve"> </w:t>
    </w:r>
    <w:r w:rsidR="00210C78">
      <w:rPr>
        <w:sz w:val="22"/>
        <w:szCs w:val="22"/>
      </w:rPr>
      <w:t>–</w:t>
    </w:r>
    <w:r w:rsidRPr="00B05D93" w:rsidR="00BC60C6">
      <w:rPr>
        <w:sz w:val="22"/>
        <w:szCs w:val="22"/>
      </w:rPr>
      <w:t xml:space="preserve"> </w:t>
    </w:r>
    <w:r w:rsidRPr="00B05D93">
      <w:rPr>
        <w:sz w:val="22"/>
        <w:szCs w:val="22"/>
      </w:rPr>
      <w:t>Terveystieto 9lk</w:t>
    </w:r>
    <w:r w:rsidR="00210C78">
      <w:rPr>
        <w:sz w:val="22"/>
        <w:szCs w:val="22"/>
      </w:rPr>
      <w:t xml:space="preserve"> – Arvosana viisi</w:t>
    </w:r>
  </w:p>
  <w:p w:rsidRPr="00B05D93" w:rsidR="00733949" w:rsidRDefault="00733949" w14:paraId="189F9BC1" w14:textId="30545034">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64"/>
    <w:multiLevelType w:val="multilevel"/>
    <w:tmpl w:val="5C5CA6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B76A2A"/>
    <w:multiLevelType w:val="multilevel"/>
    <w:tmpl w:val="30B4E8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12F6411"/>
    <w:multiLevelType w:val="multilevel"/>
    <w:tmpl w:val="5D18F0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8F61473"/>
    <w:multiLevelType w:val="multilevel"/>
    <w:tmpl w:val="771C0B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86393408">
    <w:abstractNumId w:val="0"/>
  </w:num>
  <w:num w:numId="2" w16cid:durableId="1108432876">
    <w:abstractNumId w:val="3"/>
  </w:num>
  <w:num w:numId="3" w16cid:durableId="1520315025">
    <w:abstractNumId w:val="2"/>
  </w:num>
  <w:num w:numId="4" w16cid:durableId="2005084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65"/>
    <w:rsid w:val="000517FF"/>
    <w:rsid w:val="00092183"/>
    <w:rsid w:val="00104BE9"/>
    <w:rsid w:val="001279B9"/>
    <w:rsid w:val="00187706"/>
    <w:rsid w:val="0019363D"/>
    <w:rsid w:val="001B42BD"/>
    <w:rsid w:val="002008D7"/>
    <w:rsid w:val="00210C78"/>
    <w:rsid w:val="002328EF"/>
    <w:rsid w:val="002B0DBB"/>
    <w:rsid w:val="002C07A6"/>
    <w:rsid w:val="002F2A54"/>
    <w:rsid w:val="00310DD6"/>
    <w:rsid w:val="003A1C96"/>
    <w:rsid w:val="00407824"/>
    <w:rsid w:val="005236AB"/>
    <w:rsid w:val="00581DC7"/>
    <w:rsid w:val="005E479F"/>
    <w:rsid w:val="005F175F"/>
    <w:rsid w:val="006A2D8D"/>
    <w:rsid w:val="006F31B5"/>
    <w:rsid w:val="00733949"/>
    <w:rsid w:val="007A6BE7"/>
    <w:rsid w:val="00816943"/>
    <w:rsid w:val="008E6DD7"/>
    <w:rsid w:val="00904CD6"/>
    <w:rsid w:val="009B71EA"/>
    <w:rsid w:val="00A80DE6"/>
    <w:rsid w:val="00B05D93"/>
    <w:rsid w:val="00BB41A8"/>
    <w:rsid w:val="00BC467E"/>
    <w:rsid w:val="00BC60C6"/>
    <w:rsid w:val="00C23638"/>
    <w:rsid w:val="00C23B88"/>
    <w:rsid w:val="00C53F8C"/>
    <w:rsid w:val="00CC6D18"/>
    <w:rsid w:val="00E04FAF"/>
    <w:rsid w:val="00FC2665"/>
    <w:rsid w:val="00FC7A8A"/>
    <w:rsid w:val="0CB208A1"/>
    <w:rsid w:val="136B58BE"/>
    <w:rsid w:val="1E2364D0"/>
    <w:rsid w:val="247E08A9"/>
    <w:rsid w:val="29B95E89"/>
    <w:rsid w:val="7678C5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1DDF"/>
  <w15:chartTrackingRefBased/>
  <w15:docId w15:val="{C9A3CC8C-C259-466E-B94C-E5ABF9AF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FC2665"/>
    <w:pPr>
      <w:spacing w:after="120" w:line="264" w:lineRule="auto"/>
    </w:pPr>
    <w:rPr>
      <w:rFonts w:eastAsiaTheme="minorEastAsia"/>
      <w:sz w:val="20"/>
      <w:szCs w:val="20"/>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Hyperlinkki">
    <w:name w:val="Hyperlink"/>
    <w:basedOn w:val="Kappaleenoletusfontti"/>
    <w:uiPriority w:val="99"/>
    <w:unhideWhenUsed/>
    <w:rsid w:val="00A80DE6"/>
    <w:rPr>
      <w:color w:val="0563C1" w:themeColor="hyperlink"/>
      <w:u w:val="single"/>
    </w:rPr>
  </w:style>
  <w:style w:type="character" w:styleId="Ratkaisematonmaininta">
    <w:name w:val="Unresolved Mention"/>
    <w:basedOn w:val="Kappaleenoletusfontti"/>
    <w:uiPriority w:val="99"/>
    <w:semiHidden/>
    <w:unhideWhenUsed/>
    <w:rsid w:val="00A80DE6"/>
    <w:rPr>
      <w:color w:val="605E5C"/>
      <w:shd w:val="clear" w:color="auto" w:fill="E1DFDD"/>
    </w:rPr>
  </w:style>
  <w:style w:type="paragraph" w:styleId="Yltunniste">
    <w:name w:val="header"/>
    <w:basedOn w:val="Normaali"/>
    <w:link w:val="YltunnisteChar"/>
    <w:uiPriority w:val="99"/>
    <w:unhideWhenUsed/>
    <w:rsid w:val="00733949"/>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733949"/>
    <w:rPr>
      <w:rFonts w:eastAsiaTheme="minorEastAsia"/>
      <w:sz w:val="20"/>
      <w:szCs w:val="20"/>
    </w:rPr>
  </w:style>
  <w:style w:type="paragraph" w:styleId="Alatunniste">
    <w:name w:val="footer"/>
    <w:basedOn w:val="Normaali"/>
    <w:link w:val="AlatunnisteChar"/>
    <w:uiPriority w:val="99"/>
    <w:unhideWhenUsed/>
    <w:rsid w:val="00733949"/>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733949"/>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47436">
      <w:bodyDiv w:val="1"/>
      <w:marLeft w:val="0"/>
      <w:marRight w:val="0"/>
      <w:marTop w:val="0"/>
      <w:marBottom w:val="0"/>
      <w:divBdr>
        <w:top w:val="none" w:sz="0" w:space="0" w:color="auto"/>
        <w:left w:val="none" w:sz="0" w:space="0" w:color="auto"/>
        <w:bottom w:val="none" w:sz="0" w:space="0" w:color="auto"/>
        <w:right w:val="none" w:sz="0" w:space="0" w:color="auto"/>
      </w:divBdr>
      <w:divsChild>
        <w:div w:id="1607229027">
          <w:marLeft w:val="0"/>
          <w:marRight w:val="0"/>
          <w:marTop w:val="0"/>
          <w:marBottom w:val="0"/>
          <w:divBdr>
            <w:top w:val="none" w:sz="0" w:space="0" w:color="auto"/>
            <w:left w:val="none" w:sz="0" w:space="0" w:color="auto"/>
            <w:bottom w:val="none" w:sz="0" w:space="0" w:color="auto"/>
            <w:right w:val="none" w:sz="0" w:space="0" w:color="auto"/>
          </w:divBdr>
        </w:div>
      </w:divsChild>
    </w:div>
    <w:div w:id="297147103">
      <w:bodyDiv w:val="1"/>
      <w:marLeft w:val="0"/>
      <w:marRight w:val="0"/>
      <w:marTop w:val="0"/>
      <w:marBottom w:val="0"/>
      <w:divBdr>
        <w:top w:val="none" w:sz="0" w:space="0" w:color="auto"/>
        <w:left w:val="none" w:sz="0" w:space="0" w:color="auto"/>
        <w:bottom w:val="none" w:sz="0" w:space="0" w:color="auto"/>
        <w:right w:val="none" w:sz="0" w:space="0" w:color="auto"/>
      </w:divBdr>
      <w:divsChild>
        <w:div w:id="550462385">
          <w:marLeft w:val="0"/>
          <w:marRight w:val="0"/>
          <w:marTop w:val="0"/>
          <w:marBottom w:val="0"/>
          <w:divBdr>
            <w:top w:val="none" w:sz="0" w:space="0" w:color="auto"/>
            <w:left w:val="none" w:sz="0" w:space="0" w:color="auto"/>
            <w:bottom w:val="none" w:sz="0" w:space="0" w:color="auto"/>
            <w:right w:val="none" w:sz="0" w:space="0" w:color="auto"/>
          </w:divBdr>
        </w:div>
      </w:divsChild>
    </w:div>
    <w:div w:id="510871158">
      <w:bodyDiv w:val="1"/>
      <w:marLeft w:val="0"/>
      <w:marRight w:val="0"/>
      <w:marTop w:val="0"/>
      <w:marBottom w:val="0"/>
      <w:divBdr>
        <w:top w:val="none" w:sz="0" w:space="0" w:color="auto"/>
        <w:left w:val="none" w:sz="0" w:space="0" w:color="auto"/>
        <w:bottom w:val="none" w:sz="0" w:space="0" w:color="auto"/>
        <w:right w:val="none" w:sz="0" w:space="0" w:color="auto"/>
      </w:divBdr>
    </w:div>
    <w:div w:id="555699306">
      <w:bodyDiv w:val="1"/>
      <w:marLeft w:val="0"/>
      <w:marRight w:val="0"/>
      <w:marTop w:val="0"/>
      <w:marBottom w:val="0"/>
      <w:divBdr>
        <w:top w:val="none" w:sz="0" w:space="0" w:color="auto"/>
        <w:left w:val="none" w:sz="0" w:space="0" w:color="auto"/>
        <w:bottom w:val="none" w:sz="0" w:space="0" w:color="auto"/>
        <w:right w:val="none" w:sz="0" w:space="0" w:color="auto"/>
      </w:divBdr>
    </w:div>
    <w:div w:id="1026519599">
      <w:bodyDiv w:val="1"/>
      <w:marLeft w:val="0"/>
      <w:marRight w:val="0"/>
      <w:marTop w:val="0"/>
      <w:marBottom w:val="0"/>
      <w:divBdr>
        <w:top w:val="none" w:sz="0" w:space="0" w:color="auto"/>
        <w:left w:val="none" w:sz="0" w:space="0" w:color="auto"/>
        <w:bottom w:val="none" w:sz="0" w:space="0" w:color="auto"/>
        <w:right w:val="none" w:sz="0" w:space="0" w:color="auto"/>
      </w:divBdr>
    </w:div>
    <w:div w:id="1170439208">
      <w:bodyDiv w:val="1"/>
      <w:marLeft w:val="0"/>
      <w:marRight w:val="0"/>
      <w:marTop w:val="0"/>
      <w:marBottom w:val="0"/>
      <w:divBdr>
        <w:top w:val="none" w:sz="0" w:space="0" w:color="auto"/>
        <w:left w:val="none" w:sz="0" w:space="0" w:color="auto"/>
        <w:bottom w:val="none" w:sz="0" w:space="0" w:color="auto"/>
        <w:right w:val="none" w:sz="0" w:space="0" w:color="auto"/>
      </w:divBdr>
      <w:divsChild>
        <w:div w:id="527645221">
          <w:marLeft w:val="0"/>
          <w:marRight w:val="0"/>
          <w:marTop w:val="0"/>
          <w:marBottom w:val="0"/>
          <w:divBdr>
            <w:top w:val="none" w:sz="0" w:space="0" w:color="auto"/>
            <w:left w:val="none" w:sz="0" w:space="0" w:color="auto"/>
            <w:bottom w:val="none" w:sz="0" w:space="0" w:color="auto"/>
            <w:right w:val="none" w:sz="0" w:space="0" w:color="auto"/>
          </w:divBdr>
        </w:div>
      </w:divsChild>
    </w:div>
    <w:div w:id="1791975948">
      <w:bodyDiv w:val="1"/>
      <w:marLeft w:val="0"/>
      <w:marRight w:val="0"/>
      <w:marTop w:val="0"/>
      <w:marBottom w:val="0"/>
      <w:divBdr>
        <w:top w:val="none" w:sz="0" w:space="0" w:color="auto"/>
        <w:left w:val="none" w:sz="0" w:space="0" w:color="auto"/>
        <w:bottom w:val="none" w:sz="0" w:space="0" w:color="auto"/>
        <w:right w:val="none" w:sz="0" w:space="0" w:color="auto"/>
      </w:divBdr>
      <w:divsChild>
        <w:div w:id="1225876339">
          <w:marLeft w:val="0"/>
          <w:marRight w:val="0"/>
          <w:marTop w:val="0"/>
          <w:marBottom w:val="0"/>
          <w:divBdr>
            <w:top w:val="none" w:sz="0" w:space="0" w:color="auto"/>
            <w:left w:val="none" w:sz="0" w:space="0" w:color="auto"/>
            <w:bottom w:val="none" w:sz="0" w:space="0" w:color="auto"/>
            <w:right w:val="none" w:sz="0" w:space="0" w:color="auto"/>
          </w:divBdr>
        </w:div>
      </w:divsChild>
    </w:div>
    <w:div w:id="1918975605">
      <w:bodyDiv w:val="1"/>
      <w:marLeft w:val="0"/>
      <w:marRight w:val="0"/>
      <w:marTop w:val="0"/>
      <w:marBottom w:val="0"/>
      <w:divBdr>
        <w:top w:val="none" w:sz="0" w:space="0" w:color="auto"/>
        <w:left w:val="none" w:sz="0" w:space="0" w:color="auto"/>
        <w:bottom w:val="none" w:sz="0" w:space="0" w:color="auto"/>
        <w:right w:val="none" w:sz="0" w:space="0" w:color="auto"/>
      </w:divBdr>
    </w:div>
    <w:div w:id="21271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ph.fi/fi/koulutus-ja-tutkinnot/terveystiedon-paattoarvioinnin-tukimateriaali" TargetMode="External" Id="R7105ed832d4b4cf7"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98C53-DAE0-45D9-9C47-87EAD133F7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ba64c075-4be2-4d04-96b7-e0f78b363a7c"/>
    <ds:schemaRef ds:uri="http://www.w3.org/XML/1998/namespace"/>
    <ds:schemaRef ds:uri="http://purl.org/dc/dcmitype/"/>
  </ds:schemaRefs>
</ds:datastoreItem>
</file>

<file path=customXml/itemProps2.xml><?xml version="1.0" encoding="utf-8"?>
<ds:datastoreItem xmlns:ds="http://schemas.openxmlformats.org/officeDocument/2006/customXml" ds:itemID="{6C992114-9813-481B-A98B-9123C9E16CB2}"/>
</file>

<file path=customXml/itemProps3.xml><?xml version="1.0" encoding="utf-8"?>
<ds:datastoreItem xmlns:ds="http://schemas.openxmlformats.org/officeDocument/2006/customXml" ds:itemID="{E7463D72-70AB-40CA-8324-D3611527227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38</cp:revision>
  <dcterms:created xsi:type="dcterms:W3CDTF">2023-05-08T10:29:00Z</dcterms:created>
  <dcterms:modified xsi:type="dcterms:W3CDTF">2024-02-01T09:16:01Z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