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819"/>
        <w:gridCol w:w="971"/>
        <w:gridCol w:w="160"/>
        <w:gridCol w:w="2622"/>
        <w:gridCol w:w="1220"/>
        <w:gridCol w:w="729"/>
        <w:gridCol w:w="2531"/>
        <w:gridCol w:w="320"/>
        <w:gridCol w:w="3791"/>
      </w:tblGrid>
      <w:tr w:rsidR="00DC62F6" w:rsidRPr="00924C0F" w14:paraId="095BC9C5" w14:textId="77777777" w:rsidTr="326C512C">
        <w:trPr>
          <w:trHeight w:val="284"/>
        </w:trPr>
        <w:tc>
          <w:tcPr>
            <w:tcW w:w="7792" w:type="dxa"/>
            <w:gridSpan w:val="5"/>
            <w:tcBorders>
              <w:bottom w:val="single" w:sz="4" w:space="0" w:color="auto"/>
              <w:right w:val="nil"/>
            </w:tcBorders>
            <w:shd w:val="clear" w:color="auto" w:fill="auto"/>
            <w:tcMar>
              <w:top w:w="0" w:type="dxa"/>
              <w:left w:w="108" w:type="dxa"/>
              <w:bottom w:w="0" w:type="dxa"/>
              <w:right w:w="108" w:type="dxa"/>
            </w:tcMar>
          </w:tcPr>
          <w:p w14:paraId="74D970D8" w14:textId="26D72653" w:rsidR="00DC62F6" w:rsidRPr="00924C0F" w:rsidRDefault="00DC62F6" w:rsidP="00924C0F">
            <w:pPr>
              <w:spacing w:after="0" w:line="276" w:lineRule="auto"/>
              <w:contextualSpacing/>
              <w:rPr>
                <w:rFonts w:cstheme="minorHAnsi"/>
                <w:sz w:val="22"/>
                <w:szCs w:val="22"/>
              </w:rPr>
            </w:pPr>
            <w:r>
              <w:rPr>
                <w:rFonts w:cstheme="minorHAnsi"/>
                <w:sz w:val="22"/>
                <w:szCs w:val="22"/>
              </w:rPr>
              <w:t>YH 9lk – Arvosana viisi</w:t>
            </w:r>
            <w:r>
              <w:rPr>
                <w:rFonts w:cstheme="minorHAnsi"/>
                <w:b/>
                <w:bCs/>
                <w:sz w:val="22"/>
                <w:szCs w:val="22"/>
              </w:rPr>
              <w:br/>
            </w:r>
            <w:r>
              <w:rPr>
                <w:rFonts w:cstheme="minorHAnsi"/>
                <w:b/>
                <w:bCs/>
                <w:sz w:val="22"/>
                <w:szCs w:val="22"/>
              </w:rPr>
              <w:br/>
            </w:r>
            <w:r w:rsidRPr="00924C0F">
              <w:rPr>
                <w:rFonts w:cstheme="minorHAnsi"/>
                <w:b/>
                <w:bCs/>
                <w:sz w:val="22"/>
                <w:szCs w:val="22"/>
              </w:rPr>
              <w:t>S1 Arkielämä ja oman elämän hallinta:</w:t>
            </w:r>
            <w:r w:rsidRPr="00924C0F">
              <w:rPr>
                <w:rFonts w:cstheme="minorHAnsi"/>
                <w:sz w:val="22"/>
                <w:szCs w:val="22"/>
              </w:rPr>
              <w:t> 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p>
          <w:p w14:paraId="63F18BE6" w14:textId="77777777" w:rsidR="00DC62F6" w:rsidRPr="00924C0F" w:rsidRDefault="00DC62F6" w:rsidP="00924C0F">
            <w:pPr>
              <w:spacing w:after="0" w:line="276" w:lineRule="auto"/>
              <w:contextualSpacing/>
              <w:rPr>
                <w:rFonts w:cstheme="minorHAnsi"/>
                <w:sz w:val="22"/>
                <w:szCs w:val="22"/>
              </w:rPr>
            </w:pPr>
          </w:p>
          <w:p w14:paraId="407B304C" w14:textId="7B08DD1F" w:rsidR="00DC62F6" w:rsidRPr="00924C0F" w:rsidRDefault="00DC62F6" w:rsidP="00924C0F">
            <w:pPr>
              <w:spacing w:after="0" w:line="276" w:lineRule="auto"/>
              <w:contextualSpacing/>
              <w:rPr>
                <w:rFonts w:cstheme="minorHAnsi"/>
                <w:sz w:val="22"/>
                <w:szCs w:val="22"/>
              </w:rPr>
            </w:pPr>
            <w:r w:rsidRPr="00924C0F">
              <w:rPr>
                <w:rFonts w:cstheme="minorHAnsi"/>
                <w:b/>
                <w:bCs/>
                <w:sz w:val="22"/>
                <w:szCs w:val="22"/>
              </w:rPr>
              <w:t>S2 Demokraattinen yhteiskunta</w:t>
            </w:r>
            <w:r w:rsidRPr="00924C0F">
              <w:rPr>
                <w:rFonts w:cstheme="minorHAnsi"/>
                <w:sz w:val="22"/>
                <w:szCs w:val="22"/>
              </w:rPr>
              <w:t>: 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w:t>
            </w:r>
          </w:p>
        </w:tc>
        <w:tc>
          <w:tcPr>
            <w:tcW w:w="7371" w:type="dxa"/>
            <w:gridSpan w:val="4"/>
            <w:tcBorders>
              <w:left w:val="nil"/>
              <w:bottom w:val="single" w:sz="4" w:space="0" w:color="auto"/>
            </w:tcBorders>
            <w:shd w:val="clear" w:color="auto" w:fill="auto"/>
          </w:tcPr>
          <w:p w14:paraId="6C23C563" w14:textId="77777777" w:rsidR="00DC62F6" w:rsidRDefault="00DC62F6" w:rsidP="00924C0F">
            <w:pPr>
              <w:spacing w:after="0" w:line="276" w:lineRule="auto"/>
              <w:contextualSpacing/>
              <w:rPr>
                <w:rFonts w:cstheme="minorHAnsi"/>
                <w:b/>
                <w:bCs/>
                <w:sz w:val="22"/>
                <w:szCs w:val="22"/>
              </w:rPr>
            </w:pPr>
          </w:p>
          <w:p w14:paraId="6035DD0E" w14:textId="77777777" w:rsidR="00DC62F6" w:rsidRDefault="00DC62F6" w:rsidP="00924C0F">
            <w:pPr>
              <w:spacing w:after="0" w:line="276" w:lineRule="auto"/>
              <w:contextualSpacing/>
              <w:rPr>
                <w:rFonts w:cstheme="minorHAnsi"/>
                <w:b/>
                <w:bCs/>
                <w:sz w:val="22"/>
                <w:szCs w:val="22"/>
              </w:rPr>
            </w:pPr>
          </w:p>
          <w:p w14:paraId="0D85C83B" w14:textId="33585EB4" w:rsidR="00DC62F6" w:rsidRPr="00924C0F" w:rsidRDefault="00DC62F6" w:rsidP="00924C0F">
            <w:pPr>
              <w:spacing w:after="0" w:line="276" w:lineRule="auto"/>
              <w:contextualSpacing/>
              <w:rPr>
                <w:rFonts w:cstheme="minorHAnsi"/>
                <w:sz w:val="22"/>
                <w:szCs w:val="22"/>
              </w:rPr>
            </w:pPr>
            <w:r w:rsidRPr="00924C0F">
              <w:rPr>
                <w:rFonts w:cstheme="minorHAnsi"/>
                <w:b/>
                <w:bCs/>
                <w:sz w:val="22"/>
                <w:szCs w:val="22"/>
              </w:rPr>
              <w:t>S3 Aktiivinen kansalaisuus ja vaikuttaminen</w:t>
            </w:r>
            <w:r w:rsidRPr="00924C0F">
              <w:rPr>
                <w:rFonts w:cstheme="minorHAnsi"/>
                <w:sz w:val="22"/>
                <w:szCs w:val="22"/>
              </w:rPr>
              <w:t>: Tutustutaan erilaisiin yhteiskunnallisen vaikuttamisen kanaviin ja keinoihin.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w:t>
            </w:r>
          </w:p>
          <w:p w14:paraId="764C86AD" w14:textId="77777777" w:rsidR="00DC62F6" w:rsidRPr="00924C0F" w:rsidRDefault="00DC62F6" w:rsidP="00924C0F">
            <w:pPr>
              <w:spacing w:after="0" w:line="276" w:lineRule="auto"/>
              <w:contextualSpacing/>
              <w:rPr>
                <w:rFonts w:cstheme="minorHAnsi"/>
                <w:sz w:val="22"/>
                <w:szCs w:val="22"/>
              </w:rPr>
            </w:pPr>
          </w:p>
          <w:p w14:paraId="375D1783" w14:textId="6CAD88BC" w:rsidR="00DC62F6" w:rsidRPr="00924C0F" w:rsidRDefault="00DC62F6" w:rsidP="00924C0F">
            <w:pPr>
              <w:spacing w:after="0" w:line="276" w:lineRule="auto"/>
              <w:contextualSpacing/>
              <w:rPr>
                <w:rFonts w:cstheme="minorHAnsi"/>
                <w:sz w:val="22"/>
                <w:szCs w:val="22"/>
              </w:rPr>
            </w:pPr>
            <w:r w:rsidRPr="00924C0F">
              <w:rPr>
                <w:rFonts w:cstheme="minorHAnsi"/>
                <w:b/>
                <w:bCs/>
                <w:sz w:val="22"/>
                <w:szCs w:val="22"/>
              </w:rPr>
              <w:t>S4 Taloudellinen toiminta</w:t>
            </w:r>
            <w:r w:rsidRPr="00924C0F">
              <w:rPr>
                <w:rFonts w:cstheme="minorHAnsi"/>
                <w:sz w:val="22"/>
                <w:szCs w:val="22"/>
              </w:rPr>
              <w:t>: Perehdytään talouden peruskäsitteisiin, ilmiöihin ja keskeisiin toimijoihin sekä tarkastellaan taloutta myös kestävän kehityksen ja erilaisten taloudellisten toimijoidennäkökulmasta. Lisäksi perehdytään talouden ja hyvinvoinnin kysymyksiin muun muassa työn, ammattien ja yrittäjyyden kautta. Talouden ilmiöiden tarkastelussa huomioidaan paikalliset ja globaalit näkökulmat.</w:t>
            </w:r>
          </w:p>
        </w:tc>
      </w:tr>
      <w:tr w:rsidR="00DC62F6" w:rsidRPr="00924C0F" w14:paraId="3C3087CD" w14:textId="77777777" w:rsidTr="326C512C">
        <w:trPr>
          <w:trHeight w:val="284"/>
        </w:trPr>
        <w:tc>
          <w:tcPr>
            <w:tcW w:w="7792" w:type="dxa"/>
            <w:gridSpan w:val="5"/>
            <w:tcBorders>
              <w:bottom w:val="nil"/>
              <w:right w:val="nil"/>
            </w:tcBorders>
            <w:shd w:val="clear" w:color="auto" w:fill="auto"/>
            <w:tcMar>
              <w:top w:w="0" w:type="dxa"/>
              <w:left w:w="108" w:type="dxa"/>
              <w:bottom w:w="0" w:type="dxa"/>
              <w:right w:w="108" w:type="dxa"/>
            </w:tcMar>
          </w:tcPr>
          <w:p w14:paraId="5DCFD954" w14:textId="2388E6D7" w:rsidR="00DC62F6" w:rsidRDefault="00EF0B71" w:rsidP="00924C0F">
            <w:pPr>
              <w:spacing w:after="0" w:line="276" w:lineRule="auto"/>
              <w:contextualSpacing/>
              <w:rPr>
                <w:rFonts w:cstheme="minorHAnsi"/>
                <w:sz w:val="22"/>
                <w:szCs w:val="22"/>
              </w:rPr>
            </w:pPr>
            <w:r w:rsidRPr="00EF0B71">
              <w:rPr>
                <w:rFonts w:cstheme="minorHAnsi"/>
                <w:sz w:val="22"/>
                <w:szCs w:val="22"/>
              </w:rPr>
              <w:t>Perehdytään seuraaviin kokonaisuuksiin, joista valitaan oppilaalle sopivat sisällöt.</w:t>
            </w:r>
          </w:p>
        </w:tc>
        <w:tc>
          <w:tcPr>
            <w:tcW w:w="7371" w:type="dxa"/>
            <w:gridSpan w:val="4"/>
            <w:tcBorders>
              <w:left w:val="nil"/>
              <w:bottom w:val="nil"/>
            </w:tcBorders>
            <w:shd w:val="clear" w:color="auto" w:fill="auto"/>
          </w:tcPr>
          <w:p w14:paraId="09D14429" w14:textId="77777777" w:rsidR="00DC62F6" w:rsidRDefault="00DC62F6" w:rsidP="00924C0F">
            <w:pPr>
              <w:spacing w:after="0" w:line="276" w:lineRule="auto"/>
              <w:contextualSpacing/>
              <w:rPr>
                <w:rFonts w:cstheme="minorHAnsi"/>
                <w:b/>
                <w:bCs/>
                <w:sz w:val="22"/>
                <w:szCs w:val="22"/>
              </w:rPr>
            </w:pPr>
          </w:p>
        </w:tc>
      </w:tr>
      <w:tr w:rsidR="00C95FC9" w:rsidRPr="00924C0F" w14:paraId="30F54A11" w14:textId="77777777" w:rsidTr="326C512C">
        <w:trPr>
          <w:trHeight w:val="284"/>
        </w:trPr>
        <w:tc>
          <w:tcPr>
            <w:tcW w:w="3790" w:type="dxa"/>
            <w:gridSpan w:val="2"/>
            <w:tcBorders>
              <w:top w:val="nil"/>
              <w:right w:val="nil"/>
            </w:tcBorders>
            <w:shd w:val="clear" w:color="auto" w:fill="auto"/>
            <w:tcMar>
              <w:top w:w="0" w:type="dxa"/>
              <w:left w:w="108" w:type="dxa"/>
              <w:bottom w:w="0" w:type="dxa"/>
              <w:right w:w="108" w:type="dxa"/>
            </w:tcMar>
          </w:tcPr>
          <w:p w14:paraId="7187CEDF" w14:textId="5CF1CAA9" w:rsidR="00A5499D" w:rsidRPr="00924C0F" w:rsidRDefault="7A473631" w:rsidP="00924C0F">
            <w:pPr>
              <w:spacing w:after="0" w:line="276" w:lineRule="auto"/>
              <w:contextualSpacing/>
              <w:rPr>
                <w:sz w:val="22"/>
                <w:szCs w:val="22"/>
              </w:rPr>
            </w:pPr>
            <w:r w:rsidRPr="00924C0F">
              <w:rPr>
                <w:b/>
                <w:bCs/>
                <w:sz w:val="22"/>
                <w:szCs w:val="22"/>
              </w:rPr>
              <w:t>Yksilö ja yhteiskunta</w:t>
            </w:r>
            <w:r w:rsidR="56ACC09A" w:rsidRPr="00924C0F">
              <w:rPr>
                <w:b/>
                <w:bCs/>
                <w:sz w:val="22"/>
                <w:szCs w:val="22"/>
              </w:rPr>
              <w:t xml:space="preserve"> </w:t>
            </w:r>
            <w:r w:rsidRPr="00924C0F">
              <w:rPr>
                <w:b/>
                <w:bCs/>
                <w:sz w:val="22"/>
                <w:szCs w:val="22"/>
              </w:rPr>
              <w:t>(S1, S2):</w:t>
            </w:r>
          </w:p>
          <w:p w14:paraId="021833CE" w14:textId="77777777" w:rsidR="00A5499D" w:rsidRPr="00924C0F" w:rsidRDefault="00A5499D" w:rsidP="00924C0F">
            <w:pPr>
              <w:numPr>
                <w:ilvl w:val="0"/>
                <w:numId w:val="5"/>
              </w:numPr>
              <w:tabs>
                <w:tab w:val="clear" w:pos="720"/>
              </w:tabs>
              <w:spacing w:after="0" w:line="276" w:lineRule="auto"/>
              <w:ind w:left="316" w:hanging="283"/>
              <w:contextualSpacing/>
              <w:rPr>
                <w:rFonts w:cstheme="minorHAnsi"/>
                <w:sz w:val="22"/>
                <w:szCs w:val="22"/>
              </w:rPr>
            </w:pPr>
            <w:r w:rsidRPr="00924C0F">
              <w:rPr>
                <w:rFonts w:cstheme="minorHAnsi"/>
                <w:sz w:val="22"/>
                <w:szCs w:val="22"/>
              </w:rPr>
              <w:t>Yhteiskunta ja sen jäsenet</w:t>
            </w:r>
          </w:p>
          <w:p w14:paraId="758823CC" w14:textId="77777777" w:rsidR="00A5499D" w:rsidRPr="00924C0F" w:rsidRDefault="00A5499D" w:rsidP="00924C0F">
            <w:pPr>
              <w:numPr>
                <w:ilvl w:val="0"/>
                <w:numId w:val="5"/>
              </w:numPr>
              <w:tabs>
                <w:tab w:val="clear" w:pos="720"/>
              </w:tabs>
              <w:spacing w:after="0" w:line="276" w:lineRule="auto"/>
              <w:ind w:left="316" w:hanging="283"/>
              <w:contextualSpacing/>
              <w:rPr>
                <w:rFonts w:cstheme="minorHAnsi"/>
                <w:sz w:val="22"/>
                <w:szCs w:val="22"/>
              </w:rPr>
            </w:pPr>
            <w:r w:rsidRPr="00924C0F">
              <w:rPr>
                <w:rFonts w:cstheme="minorHAnsi"/>
                <w:sz w:val="22"/>
                <w:szCs w:val="22"/>
              </w:rPr>
              <w:t>Hyvinvointivaltio ja sen palvelut</w:t>
            </w:r>
          </w:p>
          <w:p w14:paraId="02D251A3" w14:textId="77777777" w:rsidR="00A5499D" w:rsidRPr="00924C0F" w:rsidRDefault="00A5499D" w:rsidP="00924C0F">
            <w:pPr>
              <w:numPr>
                <w:ilvl w:val="0"/>
                <w:numId w:val="5"/>
              </w:numPr>
              <w:tabs>
                <w:tab w:val="clear" w:pos="720"/>
              </w:tabs>
              <w:spacing w:after="0" w:line="276" w:lineRule="auto"/>
              <w:ind w:left="316" w:hanging="283"/>
              <w:contextualSpacing/>
              <w:rPr>
                <w:rFonts w:cstheme="minorHAnsi"/>
                <w:sz w:val="22"/>
                <w:szCs w:val="22"/>
              </w:rPr>
            </w:pPr>
            <w:r w:rsidRPr="00924C0F">
              <w:rPr>
                <w:rFonts w:cstheme="minorHAnsi"/>
                <w:sz w:val="22"/>
                <w:szCs w:val="22"/>
              </w:rPr>
              <w:t>Erilaiset perheet ja parisuhteet</w:t>
            </w:r>
          </w:p>
          <w:p w14:paraId="59927C75" w14:textId="77777777" w:rsidR="00A5499D" w:rsidRPr="00924C0F" w:rsidRDefault="00A5499D" w:rsidP="00924C0F">
            <w:pPr>
              <w:numPr>
                <w:ilvl w:val="0"/>
                <w:numId w:val="5"/>
              </w:numPr>
              <w:tabs>
                <w:tab w:val="clear" w:pos="720"/>
              </w:tabs>
              <w:spacing w:after="0" w:line="276" w:lineRule="auto"/>
              <w:ind w:left="316" w:hanging="283"/>
              <w:contextualSpacing/>
              <w:rPr>
                <w:rFonts w:cstheme="minorHAnsi"/>
                <w:sz w:val="22"/>
                <w:szCs w:val="22"/>
              </w:rPr>
            </w:pPr>
            <w:r w:rsidRPr="00924C0F">
              <w:rPr>
                <w:rFonts w:cstheme="minorHAnsi"/>
                <w:sz w:val="22"/>
                <w:szCs w:val="22"/>
              </w:rPr>
              <w:t>Avioliiton purkautuminen</w:t>
            </w:r>
          </w:p>
          <w:p w14:paraId="1CC232FE" w14:textId="4095351D" w:rsidR="00A5499D" w:rsidRPr="00924C0F" w:rsidRDefault="00A5499D" w:rsidP="00924C0F">
            <w:pPr>
              <w:numPr>
                <w:ilvl w:val="0"/>
                <w:numId w:val="5"/>
              </w:numPr>
              <w:tabs>
                <w:tab w:val="clear" w:pos="720"/>
              </w:tabs>
              <w:spacing w:after="0" w:line="276" w:lineRule="auto"/>
              <w:ind w:left="316" w:hanging="283"/>
              <w:contextualSpacing/>
              <w:rPr>
                <w:rFonts w:cstheme="minorHAnsi"/>
                <w:sz w:val="22"/>
                <w:szCs w:val="22"/>
              </w:rPr>
            </w:pPr>
            <w:r w:rsidRPr="00924C0F">
              <w:rPr>
                <w:rFonts w:cstheme="minorHAnsi"/>
                <w:sz w:val="22"/>
                <w:szCs w:val="22"/>
              </w:rPr>
              <w:t>Perinnönjako ja testamentti</w:t>
            </w:r>
          </w:p>
        </w:tc>
        <w:tc>
          <w:tcPr>
            <w:tcW w:w="4002" w:type="dxa"/>
            <w:gridSpan w:val="3"/>
            <w:tcBorders>
              <w:top w:val="nil"/>
              <w:left w:val="nil"/>
              <w:right w:val="nil"/>
            </w:tcBorders>
            <w:shd w:val="clear" w:color="auto" w:fill="auto"/>
          </w:tcPr>
          <w:p w14:paraId="4B8D52D8" w14:textId="4F8A136E" w:rsidR="00A5499D" w:rsidRPr="00924C0F" w:rsidRDefault="00A5499D" w:rsidP="00924C0F">
            <w:pPr>
              <w:spacing w:after="0" w:line="276" w:lineRule="auto"/>
              <w:contextualSpacing/>
              <w:rPr>
                <w:rFonts w:cstheme="minorHAnsi"/>
                <w:sz w:val="22"/>
                <w:szCs w:val="22"/>
              </w:rPr>
            </w:pPr>
            <w:r w:rsidRPr="00924C0F">
              <w:rPr>
                <w:rFonts w:cstheme="minorHAnsi"/>
                <w:b/>
                <w:bCs/>
                <w:sz w:val="22"/>
                <w:szCs w:val="22"/>
              </w:rPr>
              <w:t xml:space="preserve">Turvallinen yhteiskunta </w:t>
            </w:r>
            <w:r w:rsidR="00D03393" w:rsidRPr="00924C0F">
              <w:rPr>
                <w:rFonts w:cstheme="minorHAnsi"/>
                <w:b/>
                <w:bCs/>
                <w:sz w:val="22"/>
                <w:szCs w:val="22"/>
              </w:rPr>
              <w:br/>
            </w:r>
            <w:r w:rsidRPr="00924C0F">
              <w:rPr>
                <w:rFonts w:cstheme="minorHAnsi"/>
                <w:b/>
                <w:bCs/>
                <w:sz w:val="22"/>
                <w:szCs w:val="22"/>
              </w:rPr>
              <w:t>(S1, S2):</w:t>
            </w:r>
          </w:p>
          <w:p w14:paraId="07AFF546" w14:textId="77777777"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Oikeusvaltio</w:t>
            </w:r>
          </w:p>
          <w:p w14:paraId="046138E1" w14:textId="77777777"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Kansalaisen oikeudet ja velvollisuudet</w:t>
            </w:r>
          </w:p>
          <w:p w14:paraId="20CFB6EE" w14:textId="77777777"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Poliisi</w:t>
            </w:r>
          </w:p>
          <w:p w14:paraId="5BA97BDC" w14:textId="77777777"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Oikeusjärjestelmä</w:t>
            </w:r>
          </w:p>
          <w:p w14:paraId="100197FE" w14:textId="77777777"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Rikos ja rangaistus</w:t>
            </w:r>
          </w:p>
          <w:p w14:paraId="612B0D84" w14:textId="00CD89F1" w:rsidR="00A5499D" w:rsidRPr="00924C0F" w:rsidRDefault="00A5499D" w:rsidP="00924C0F">
            <w:pPr>
              <w:numPr>
                <w:ilvl w:val="0"/>
                <w:numId w:val="6"/>
              </w:numPr>
              <w:tabs>
                <w:tab w:val="clear" w:pos="720"/>
                <w:tab w:val="num" w:pos="903"/>
              </w:tabs>
              <w:spacing w:after="0" w:line="276" w:lineRule="auto"/>
              <w:ind w:left="336" w:hanging="283"/>
              <w:contextualSpacing/>
              <w:rPr>
                <w:rFonts w:cstheme="minorHAnsi"/>
                <w:sz w:val="22"/>
                <w:szCs w:val="22"/>
              </w:rPr>
            </w:pPr>
            <w:r w:rsidRPr="00924C0F">
              <w:rPr>
                <w:rFonts w:cstheme="minorHAnsi"/>
                <w:sz w:val="22"/>
                <w:szCs w:val="22"/>
              </w:rPr>
              <w:t>Turvallisuuspolitiikka ja maanpuolustus</w:t>
            </w:r>
          </w:p>
        </w:tc>
        <w:tc>
          <w:tcPr>
            <w:tcW w:w="3580" w:type="dxa"/>
            <w:gridSpan w:val="3"/>
            <w:tcBorders>
              <w:top w:val="nil"/>
              <w:left w:val="nil"/>
              <w:right w:val="nil"/>
            </w:tcBorders>
            <w:shd w:val="clear" w:color="auto" w:fill="auto"/>
          </w:tcPr>
          <w:p w14:paraId="634B6470" w14:textId="6424C668" w:rsidR="00A5499D" w:rsidRPr="00924C0F" w:rsidRDefault="00A5499D" w:rsidP="00924C0F">
            <w:pPr>
              <w:spacing w:after="0" w:line="276" w:lineRule="auto"/>
              <w:contextualSpacing/>
              <w:rPr>
                <w:sz w:val="22"/>
                <w:szCs w:val="22"/>
                <w:lang w:val="en-GB"/>
              </w:rPr>
            </w:pPr>
            <w:proofErr w:type="spellStart"/>
            <w:r w:rsidRPr="00924C0F">
              <w:rPr>
                <w:b/>
                <w:bCs/>
                <w:sz w:val="22"/>
                <w:szCs w:val="22"/>
                <w:lang w:val="en-GB"/>
              </w:rPr>
              <w:t>Talous</w:t>
            </w:r>
            <w:proofErr w:type="spellEnd"/>
            <w:r w:rsidRPr="00924C0F">
              <w:rPr>
                <w:b/>
                <w:bCs/>
                <w:sz w:val="22"/>
                <w:szCs w:val="22"/>
                <w:lang w:val="en-GB"/>
              </w:rPr>
              <w:t xml:space="preserve"> (S1, S2, S3, S4):</w:t>
            </w:r>
          </w:p>
          <w:p w14:paraId="5E590656"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Oma talous</w:t>
            </w:r>
          </w:p>
          <w:p w14:paraId="1854FAE5"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Kotitaloudet</w:t>
            </w:r>
          </w:p>
          <w:p w14:paraId="0F29DB04"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Julkinen talous</w:t>
            </w:r>
          </w:p>
          <w:p w14:paraId="53C3E84B"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Euroopan unioni</w:t>
            </w:r>
          </w:p>
          <w:p w14:paraId="1DB355CC"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Globaali talous</w:t>
            </w:r>
          </w:p>
          <w:p w14:paraId="03EF30B4"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Yrittäjyys</w:t>
            </w:r>
          </w:p>
          <w:p w14:paraId="0A2C28B5"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Kuluttaminen</w:t>
            </w:r>
          </w:p>
          <w:p w14:paraId="5B226DE3"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Työelämä</w:t>
            </w:r>
          </w:p>
          <w:p w14:paraId="52DE77E7" w14:textId="77777777" w:rsidR="00A5499D" w:rsidRPr="00924C0F" w:rsidRDefault="00A5499D" w:rsidP="00924C0F">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Talousjärjestelmät</w:t>
            </w:r>
          </w:p>
          <w:p w14:paraId="4BB27996" w14:textId="4C455FC6" w:rsidR="00F575F6" w:rsidRPr="00F575F6" w:rsidRDefault="00A5499D" w:rsidP="00F575F6">
            <w:pPr>
              <w:numPr>
                <w:ilvl w:val="0"/>
                <w:numId w:val="7"/>
              </w:numPr>
              <w:tabs>
                <w:tab w:val="clear" w:pos="720"/>
                <w:tab w:val="num" w:pos="204"/>
              </w:tabs>
              <w:spacing w:after="0" w:line="276" w:lineRule="auto"/>
              <w:ind w:left="346" w:hanging="346"/>
              <w:contextualSpacing/>
              <w:rPr>
                <w:rFonts w:cstheme="minorHAnsi"/>
                <w:sz w:val="22"/>
                <w:szCs w:val="22"/>
              </w:rPr>
            </w:pPr>
            <w:r w:rsidRPr="00924C0F">
              <w:rPr>
                <w:rFonts w:cstheme="minorHAnsi"/>
                <w:sz w:val="22"/>
                <w:szCs w:val="22"/>
              </w:rPr>
              <w:t>Suhdannevaihtelut</w:t>
            </w:r>
          </w:p>
        </w:tc>
        <w:tc>
          <w:tcPr>
            <w:tcW w:w="3791" w:type="dxa"/>
            <w:tcBorders>
              <w:top w:val="nil"/>
              <w:left w:val="nil"/>
            </w:tcBorders>
            <w:shd w:val="clear" w:color="auto" w:fill="auto"/>
          </w:tcPr>
          <w:p w14:paraId="534D5507" w14:textId="3DF75F41" w:rsidR="00A5499D" w:rsidRPr="00924C0F" w:rsidRDefault="00A5499D" w:rsidP="00924C0F">
            <w:pPr>
              <w:spacing w:after="0" w:line="276" w:lineRule="auto"/>
              <w:contextualSpacing/>
              <w:rPr>
                <w:rFonts w:cstheme="minorHAnsi"/>
                <w:sz w:val="22"/>
                <w:szCs w:val="22"/>
              </w:rPr>
            </w:pPr>
            <w:r w:rsidRPr="00924C0F">
              <w:rPr>
                <w:rFonts w:cstheme="minorHAnsi"/>
                <w:b/>
                <w:bCs/>
                <w:sz w:val="22"/>
                <w:szCs w:val="22"/>
              </w:rPr>
              <w:t>Vaikuttaminen ja päätöksenteko (S2, S3)</w:t>
            </w:r>
            <w:r w:rsidRPr="00924C0F">
              <w:rPr>
                <w:rFonts w:cstheme="minorHAnsi"/>
                <w:sz w:val="22"/>
                <w:szCs w:val="22"/>
              </w:rPr>
              <w:t>:</w:t>
            </w:r>
          </w:p>
          <w:p w14:paraId="58C3D82A" w14:textId="7777777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Kansanvalta</w:t>
            </w:r>
          </w:p>
          <w:p w14:paraId="6C48AF4D" w14:textId="7777777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Kansalaiset voivat vaikuttaa</w:t>
            </w:r>
          </w:p>
          <w:p w14:paraId="3B7A1A54" w14:textId="7777777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Puolueet ja kansalaisjärjestöt</w:t>
            </w:r>
          </w:p>
          <w:p w14:paraId="5650DE02" w14:textId="7777777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Vaalit ja päätöksentekojärjestelmä</w:t>
            </w:r>
          </w:p>
          <w:p w14:paraId="7761D63A" w14:textId="7777777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Media vallan välineenä</w:t>
            </w:r>
          </w:p>
          <w:p w14:paraId="18EF5A45" w14:textId="7683F1A7" w:rsidR="00A5499D" w:rsidRPr="00924C0F" w:rsidRDefault="00A5499D" w:rsidP="00924C0F">
            <w:pPr>
              <w:numPr>
                <w:ilvl w:val="0"/>
                <w:numId w:val="8"/>
              </w:numPr>
              <w:tabs>
                <w:tab w:val="clear" w:pos="720"/>
                <w:tab w:val="num" w:pos="498"/>
              </w:tabs>
              <w:spacing w:after="0" w:line="276" w:lineRule="auto"/>
              <w:ind w:left="356" w:hanging="222"/>
              <w:contextualSpacing/>
              <w:rPr>
                <w:rFonts w:cstheme="minorHAnsi"/>
                <w:sz w:val="22"/>
                <w:szCs w:val="22"/>
              </w:rPr>
            </w:pPr>
            <w:r w:rsidRPr="00924C0F">
              <w:rPr>
                <w:rFonts w:cstheme="minorHAnsi"/>
                <w:sz w:val="22"/>
                <w:szCs w:val="22"/>
              </w:rPr>
              <w:t>Euroopan unioni</w:t>
            </w:r>
          </w:p>
        </w:tc>
      </w:tr>
      <w:tr w:rsidR="0EE62494" w:rsidRPr="00924C0F" w14:paraId="1C7B73F9" w14:textId="77777777" w:rsidTr="326C512C">
        <w:trPr>
          <w:trHeight w:val="284"/>
        </w:trPr>
        <w:tc>
          <w:tcPr>
            <w:tcW w:w="15163" w:type="dxa"/>
            <w:gridSpan w:val="9"/>
            <w:shd w:val="clear" w:color="auto" w:fill="FFF2CC" w:themeFill="accent4" w:themeFillTint="33"/>
            <w:tcMar>
              <w:top w:w="0" w:type="dxa"/>
              <w:left w:w="108" w:type="dxa"/>
              <w:bottom w:w="0" w:type="dxa"/>
              <w:right w:w="108" w:type="dxa"/>
            </w:tcMar>
            <w:hideMark/>
          </w:tcPr>
          <w:p w14:paraId="71BC1B99" w14:textId="4B6176EE" w:rsidR="00DA68BF" w:rsidRDefault="00DA68BF" w:rsidP="326C512C">
            <w:pPr>
              <w:spacing w:after="0" w:line="276" w:lineRule="auto"/>
              <w:rPr>
                <w:b/>
                <w:bCs/>
                <w:sz w:val="22"/>
                <w:szCs w:val="22"/>
              </w:rPr>
            </w:pPr>
            <w:r w:rsidRPr="326C512C">
              <w:rPr>
                <w:sz w:val="22"/>
                <w:szCs w:val="22"/>
              </w:rPr>
              <w:t xml:space="preserve">Voit hyödyntää </w:t>
            </w:r>
            <w:r w:rsidR="46012582" w:rsidRPr="326C512C">
              <w:rPr>
                <w:sz w:val="22"/>
                <w:szCs w:val="22"/>
              </w:rPr>
              <w:t xml:space="preserve">OPH.fi yhteiskuntaopin materiaalit –sivustoa. </w:t>
            </w:r>
          </w:p>
          <w:p w14:paraId="45C2820F" w14:textId="26F68E6D" w:rsidR="326C512C" w:rsidRDefault="00F2384E" w:rsidP="326C512C">
            <w:pPr>
              <w:spacing w:after="0" w:line="276" w:lineRule="auto"/>
              <w:rPr>
                <w:sz w:val="22"/>
                <w:szCs w:val="22"/>
              </w:rPr>
            </w:pPr>
            <w:r w:rsidRPr="00F2384E">
              <w:rPr>
                <w:sz w:val="22"/>
                <w:szCs w:val="22"/>
              </w:rPr>
              <w:t>OPH:n tukimateriaali päättöarviointiin:</w:t>
            </w:r>
            <w:r>
              <w:t xml:space="preserve"> </w:t>
            </w:r>
            <w:hyperlink r:id="rId11" w:history="1">
              <w:r w:rsidR="001B0B97" w:rsidRPr="00ED2003">
                <w:rPr>
                  <w:rStyle w:val="Hyperlinkki"/>
                  <w:sz w:val="22"/>
                  <w:szCs w:val="22"/>
                </w:rPr>
                <w:t>https://www.oph.fi/fi/koulutus-ja-tutkinnot/perusopetuksen-yhteiskuntaopin-paattoarvioinnin-tukimateriaali</w:t>
              </w:r>
            </w:hyperlink>
            <w:r w:rsidR="001B0B97">
              <w:rPr>
                <w:sz w:val="22"/>
                <w:szCs w:val="22"/>
              </w:rPr>
              <w:t xml:space="preserve"> </w:t>
            </w:r>
          </w:p>
          <w:p w14:paraId="112F1B5C" w14:textId="6A4FCE11" w:rsidR="46012582" w:rsidRPr="00924C0F" w:rsidRDefault="46ECCE3E" w:rsidP="00924C0F">
            <w:pPr>
              <w:spacing w:after="0" w:line="276" w:lineRule="auto"/>
              <w:rPr>
                <w:sz w:val="22"/>
                <w:szCs w:val="22"/>
              </w:rPr>
            </w:pPr>
            <w:r w:rsidRPr="00924C0F">
              <w:rPr>
                <w:sz w:val="22"/>
                <w:szCs w:val="22"/>
              </w:rPr>
              <w:lastRenderedPageBreak/>
              <w:t xml:space="preserve">Arvosanan viisi kriteerit korostavat oppilaan kykyä tunnistaa tietoa ohjatusti. Tunnistamisella tarkoitetaan esim. </w:t>
            </w:r>
            <w:r w:rsidR="31127825" w:rsidRPr="00924C0F">
              <w:rPr>
                <w:sz w:val="22"/>
                <w:szCs w:val="22"/>
              </w:rPr>
              <w:t>s</w:t>
            </w:r>
            <w:r w:rsidRPr="00924C0F">
              <w:rPr>
                <w:sz w:val="22"/>
                <w:szCs w:val="22"/>
              </w:rPr>
              <w:t>itä, että oppilas hyödyntää olemassa</w:t>
            </w:r>
            <w:r w:rsidR="5C445BCB" w:rsidRPr="00924C0F">
              <w:rPr>
                <w:sz w:val="22"/>
                <w:szCs w:val="22"/>
              </w:rPr>
              <w:t xml:space="preserve"> </w:t>
            </w:r>
            <w:r w:rsidRPr="00924C0F">
              <w:rPr>
                <w:sz w:val="22"/>
                <w:szCs w:val="22"/>
              </w:rPr>
              <w:t>olevaa tieto</w:t>
            </w:r>
            <w:r w:rsidR="3E723AA4" w:rsidRPr="00924C0F">
              <w:rPr>
                <w:sz w:val="22"/>
                <w:szCs w:val="22"/>
              </w:rPr>
              <w:t>aan</w:t>
            </w:r>
            <w:r w:rsidRPr="00924C0F">
              <w:rPr>
                <w:sz w:val="22"/>
                <w:szCs w:val="22"/>
              </w:rPr>
              <w:t xml:space="preserve"> </w:t>
            </w:r>
            <w:r w:rsidR="4C8BDF50" w:rsidRPr="00924C0F">
              <w:rPr>
                <w:sz w:val="22"/>
                <w:szCs w:val="22"/>
              </w:rPr>
              <w:t xml:space="preserve">ja vertaa sitä annettuun tehtävään. </w:t>
            </w:r>
            <w:r w:rsidR="54E1ECA9" w:rsidRPr="00924C0F">
              <w:rPr>
                <w:sz w:val="22"/>
                <w:szCs w:val="22"/>
              </w:rPr>
              <w:t xml:space="preserve">Esimerkiksi valitsemalla sanalistasta ne sanat, jotka liittyvät käsiteltävään aiheeseen. </w:t>
            </w:r>
          </w:p>
        </w:tc>
      </w:tr>
      <w:tr w:rsidR="0078235C" w:rsidRPr="00924C0F" w14:paraId="5B407A4B" w14:textId="2AE148E2" w:rsidTr="326C512C">
        <w:trPr>
          <w:trHeight w:val="284"/>
        </w:trPr>
        <w:tc>
          <w:tcPr>
            <w:tcW w:w="2819" w:type="dxa"/>
            <w:shd w:val="clear" w:color="auto" w:fill="B4C6E7" w:themeFill="accent1" w:themeFillTint="66"/>
            <w:tcMar>
              <w:top w:w="0" w:type="dxa"/>
              <w:left w:w="108" w:type="dxa"/>
              <w:bottom w:w="0" w:type="dxa"/>
              <w:right w:w="108" w:type="dxa"/>
            </w:tcMar>
            <w:hideMark/>
          </w:tcPr>
          <w:p w14:paraId="76C7435C" w14:textId="77777777"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lastRenderedPageBreak/>
              <w:t xml:space="preserve">Opetuksen tavoite </w:t>
            </w:r>
          </w:p>
        </w:tc>
        <w:tc>
          <w:tcPr>
            <w:tcW w:w="1131" w:type="dxa"/>
            <w:gridSpan w:val="2"/>
            <w:shd w:val="clear" w:color="auto" w:fill="B4C6E7" w:themeFill="accent1" w:themeFillTint="66"/>
            <w:tcMar>
              <w:top w:w="0" w:type="dxa"/>
              <w:left w:w="108" w:type="dxa"/>
              <w:bottom w:w="0" w:type="dxa"/>
              <w:right w:w="108" w:type="dxa"/>
            </w:tcMar>
            <w:hideMark/>
          </w:tcPr>
          <w:p w14:paraId="55702532" w14:textId="62390524"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t>Sisältö</w:t>
            </w:r>
            <w:r w:rsidR="00D33D1A" w:rsidRPr="00924C0F">
              <w:rPr>
                <w:rFonts w:cstheme="minorHAnsi"/>
                <w:b/>
                <w:bCs/>
                <w:sz w:val="22"/>
                <w:szCs w:val="22"/>
              </w:rPr>
              <w:t>-</w:t>
            </w:r>
            <w:r w:rsidRPr="00924C0F">
              <w:rPr>
                <w:rFonts w:cstheme="minorHAnsi"/>
                <w:b/>
                <w:bCs/>
                <w:sz w:val="22"/>
                <w:szCs w:val="22"/>
              </w:rPr>
              <w:t>alueet</w:t>
            </w:r>
          </w:p>
        </w:tc>
        <w:tc>
          <w:tcPr>
            <w:tcW w:w="2622" w:type="dxa"/>
            <w:shd w:val="clear" w:color="auto" w:fill="B4C6E7" w:themeFill="accent1" w:themeFillTint="66"/>
            <w:tcMar>
              <w:top w:w="0" w:type="dxa"/>
              <w:left w:w="108" w:type="dxa"/>
              <w:bottom w:w="0" w:type="dxa"/>
              <w:right w:w="108" w:type="dxa"/>
            </w:tcMar>
            <w:hideMark/>
          </w:tcPr>
          <w:p w14:paraId="4A4FC3E8" w14:textId="77777777"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t xml:space="preserve">Opetuksen tavoitteista johdetut oppimisen tavoitteet  </w:t>
            </w:r>
          </w:p>
          <w:p w14:paraId="711B85D4" w14:textId="77777777" w:rsidR="00A5499D" w:rsidRPr="00924C0F" w:rsidRDefault="00A5499D" w:rsidP="00924C0F">
            <w:pPr>
              <w:spacing w:after="0" w:line="276" w:lineRule="auto"/>
              <w:contextualSpacing/>
              <w:rPr>
                <w:rFonts w:cstheme="minorHAnsi"/>
                <w:b/>
                <w:bCs/>
                <w:sz w:val="22"/>
                <w:szCs w:val="22"/>
              </w:rPr>
            </w:pPr>
          </w:p>
        </w:tc>
        <w:tc>
          <w:tcPr>
            <w:tcW w:w="1949" w:type="dxa"/>
            <w:gridSpan w:val="2"/>
            <w:shd w:val="clear" w:color="auto" w:fill="B4C6E7" w:themeFill="accent1" w:themeFillTint="66"/>
            <w:tcMar>
              <w:top w:w="0" w:type="dxa"/>
              <w:left w:w="108" w:type="dxa"/>
              <w:bottom w:w="0" w:type="dxa"/>
              <w:right w:w="108" w:type="dxa"/>
            </w:tcMar>
            <w:hideMark/>
          </w:tcPr>
          <w:p w14:paraId="47E9FB18" w14:textId="42CC1877"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t xml:space="preserve">Arvioinnin kohde </w:t>
            </w:r>
          </w:p>
        </w:tc>
        <w:tc>
          <w:tcPr>
            <w:tcW w:w="2531" w:type="dxa"/>
            <w:shd w:val="clear" w:color="auto" w:fill="B4C6E7" w:themeFill="accent1" w:themeFillTint="66"/>
            <w:tcMar>
              <w:top w:w="0" w:type="dxa"/>
              <w:left w:w="108" w:type="dxa"/>
              <w:bottom w:w="0" w:type="dxa"/>
              <w:right w:w="108" w:type="dxa"/>
            </w:tcMar>
            <w:hideMark/>
          </w:tcPr>
          <w:p w14:paraId="7652A2E7" w14:textId="77777777"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t>Osaamisen kuvaus arvosanalle 5</w:t>
            </w:r>
          </w:p>
        </w:tc>
        <w:tc>
          <w:tcPr>
            <w:tcW w:w="4111" w:type="dxa"/>
            <w:gridSpan w:val="2"/>
            <w:shd w:val="clear" w:color="auto" w:fill="B4C6E7" w:themeFill="accent1" w:themeFillTint="66"/>
          </w:tcPr>
          <w:p w14:paraId="1FB5D933" w14:textId="15DC0235" w:rsidR="00A5499D" w:rsidRPr="00924C0F" w:rsidRDefault="00A5499D" w:rsidP="00924C0F">
            <w:pPr>
              <w:spacing w:after="0" w:line="276" w:lineRule="auto"/>
              <w:contextualSpacing/>
              <w:rPr>
                <w:rFonts w:cstheme="minorHAnsi"/>
                <w:b/>
                <w:bCs/>
                <w:sz w:val="22"/>
                <w:szCs w:val="22"/>
              </w:rPr>
            </w:pPr>
            <w:r w:rsidRPr="00924C0F">
              <w:rPr>
                <w:rFonts w:cstheme="minorHAnsi"/>
                <w:b/>
                <w:bCs/>
                <w:sz w:val="22"/>
                <w:szCs w:val="22"/>
              </w:rPr>
              <w:t>Käytännönläheiset esimerkit</w:t>
            </w:r>
          </w:p>
        </w:tc>
      </w:tr>
      <w:tr w:rsidR="0078235C" w:rsidRPr="00924C0F" w14:paraId="042CB7C2" w14:textId="1E5A3DDD" w:rsidTr="326C512C">
        <w:trPr>
          <w:trHeight w:val="284"/>
        </w:trPr>
        <w:tc>
          <w:tcPr>
            <w:tcW w:w="2819" w:type="dxa"/>
            <w:shd w:val="clear" w:color="auto" w:fill="auto"/>
            <w:tcMar>
              <w:top w:w="0" w:type="dxa"/>
              <w:left w:w="108" w:type="dxa"/>
              <w:bottom w:w="0" w:type="dxa"/>
              <w:right w:w="108" w:type="dxa"/>
            </w:tcMar>
          </w:tcPr>
          <w:p w14:paraId="53A06B2F" w14:textId="77777777" w:rsidR="00A5499D" w:rsidRPr="00924C0F" w:rsidRDefault="00A5499D" w:rsidP="00924C0F">
            <w:pPr>
              <w:autoSpaceDE w:val="0"/>
              <w:autoSpaceDN w:val="0"/>
              <w:adjustRightInd w:val="0"/>
              <w:spacing w:after="0" w:line="276" w:lineRule="auto"/>
              <w:contextualSpacing/>
              <w:rPr>
                <w:rFonts w:eastAsia="Calibri" w:cstheme="minorHAnsi"/>
                <w:sz w:val="22"/>
                <w:szCs w:val="22"/>
              </w:rPr>
            </w:pPr>
            <w:r w:rsidRPr="00924C0F">
              <w:rPr>
                <w:rFonts w:eastAsia="Calibri" w:cstheme="minorHAnsi"/>
                <w:sz w:val="22"/>
                <w:szCs w:val="22"/>
              </w:rPr>
              <w:t>T1 ohjata oppilasta syventämään kiinnostustaan ympäröivään yhteiskuntaan ja vahvistaa oppilaan kiinnostusta yhteiskuntaoppiin tiedonalana</w:t>
            </w:r>
          </w:p>
        </w:tc>
        <w:tc>
          <w:tcPr>
            <w:tcW w:w="1131" w:type="dxa"/>
            <w:gridSpan w:val="2"/>
            <w:shd w:val="clear" w:color="auto" w:fill="auto"/>
            <w:tcMar>
              <w:top w:w="0" w:type="dxa"/>
              <w:left w:w="108" w:type="dxa"/>
              <w:bottom w:w="0" w:type="dxa"/>
              <w:right w:w="108" w:type="dxa"/>
            </w:tcMar>
          </w:tcPr>
          <w:p w14:paraId="4C3CBF0B"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S1–S4</w:t>
            </w:r>
          </w:p>
        </w:tc>
        <w:tc>
          <w:tcPr>
            <w:tcW w:w="2622" w:type="dxa"/>
            <w:shd w:val="clear" w:color="auto" w:fill="auto"/>
            <w:tcMar>
              <w:top w:w="0" w:type="dxa"/>
              <w:left w:w="108" w:type="dxa"/>
              <w:bottom w:w="0" w:type="dxa"/>
              <w:right w:w="108" w:type="dxa"/>
            </w:tcMar>
          </w:tcPr>
          <w:p w14:paraId="5179E216" w14:textId="77777777" w:rsidR="00A5499D" w:rsidRPr="00924C0F" w:rsidRDefault="00A5499D" w:rsidP="00924C0F">
            <w:pPr>
              <w:spacing w:after="0" w:line="276" w:lineRule="auto"/>
              <w:contextualSpacing/>
              <w:rPr>
                <w:rFonts w:cstheme="minorHAnsi"/>
                <w:i/>
                <w:iCs/>
                <w:sz w:val="22"/>
                <w:szCs w:val="22"/>
              </w:rPr>
            </w:pPr>
            <w:r w:rsidRPr="00924C0F">
              <w:rPr>
                <w:rFonts w:cstheme="minorHAnsi"/>
                <w:iCs/>
                <w:sz w:val="22"/>
                <w:szCs w:val="22"/>
              </w:rPr>
              <w:t>Oppilas oivaltaa yhteiskuntaa koskevan tiedon merkityksen yksilön ja yhteisön kannalta.</w:t>
            </w:r>
          </w:p>
        </w:tc>
        <w:tc>
          <w:tcPr>
            <w:tcW w:w="1949" w:type="dxa"/>
            <w:gridSpan w:val="2"/>
            <w:shd w:val="clear" w:color="auto" w:fill="auto"/>
            <w:tcMar>
              <w:top w:w="0" w:type="dxa"/>
              <w:left w:w="108" w:type="dxa"/>
              <w:bottom w:w="0" w:type="dxa"/>
              <w:right w:w="108" w:type="dxa"/>
            </w:tcMar>
          </w:tcPr>
          <w:p w14:paraId="4BE33EB5" w14:textId="6080BFEB" w:rsidR="00A5499D" w:rsidRPr="00924C0F" w:rsidRDefault="00A5499D" w:rsidP="00924C0F">
            <w:pPr>
              <w:spacing w:after="0" w:line="276" w:lineRule="auto"/>
              <w:contextualSpacing/>
              <w:rPr>
                <w:rFonts w:cstheme="minorHAnsi"/>
                <w:iCs/>
                <w:sz w:val="22"/>
                <w:szCs w:val="22"/>
              </w:rPr>
            </w:pPr>
          </w:p>
        </w:tc>
        <w:tc>
          <w:tcPr>
            <w:tcW w:w="2531" w:type="dxa"/>
            <w:shd w:val="clear" w:color="auto" w:fill="auto"/>
            <w:tcMar>
              <w:top w:w="0" w:type="dxa"/>
              <w:left w:w="108" w:type="dxa"/>
              <w:bottom w:w="0" w:type="dxa"/>
              <w:right w:w="108" w:type="dxa"/>
            </w:tcMar>
          </w:tcPr>
          <w:p w14:paraId="67E981FD" w14:textId="77777777" w:rsidR="00A5499D" w:rsidRPr="00924C0F" w:rsidRDefault="00A5499D" w:rsidP="00924C0F">
            <w:pPr>
              <w:spacing w:after="0" w:line="276" w:lineRule="auto"/>
              <w:contextualSpacing/>
              <w:rPr>
                <w:rFonts w:cstheme="minorHAnsi"/>
                <w:i/>
                <w:iCs/>
                <w:sz w:val="22"/>
                <w:szCs w:val="22"/>
              </w:rPr>
            </w:pPr>
            <w:r w:rsidRPr="00924C0F">
              <w:rPr>
                <w:rFonts w:cstheme="minorHAnsi"/>
                <w:i/>
                <w:iCs/>
                <w:sz w:val="22"/>
                <w:szCs w:val="22"/>
              </w:rPr>
              <w:t>Ei käytetä arvosanan muodostamisen perusteena. Oppilasta ohjataan pohtimaan kokemuksiaan osana itsearviointia.</w:t>
            </w:r>
          </w:p>
        </w:tc>
        <w:tc>
          <w:tcPr>
            <w:tcW w:w="4111" w:type="dxa"/>
            <w:gridSpan w:val="2"/>
          </w:tcPr>
          <w:p w14:paraId="070413F1" w14:textId="6DE8F2FB" w:rsidR="00A5499D" w:rsidRPr="00924C0F" w:rsidRDefault="002256F6" w:rsidP="00924C0F">
            <w:pPr>
              <w:spacing w:after="0" w:line="276" w:lineRule="auto"/>
              <w:contextualSpacing/>
              <w:rPr>
                <w:rFonts w:cstheme="minorHAnsi"/>
                <w:sz w:val="22"/>
                <w:szCs w:val="22"/>
              </w:rPr>
            </w:pPr>
            <w:proofErr w:type="spellStart"/>
            <w:r w:rsidRPr="00924C0F">
              <w:rPr>
                <w:rFonts w:cstheme="minorHAnsi"/>
                <w:sz w:val="22"/>
                <w:szCs w:val="22"/>
              </w:rPr>
              <w:t>Huom</w:t>
            </w:r>
            <w:proofErr w:type="spellEnd"/>
            <w:r w:rsidRPr="00924C0F">
              <w:rPr>
                <w:rFonts w:cstheme="minorHAnsi"/>
                <w:sz w:val="22"/>
                <w:szCs w:val="22"/>
              </w:rPr>
              <w:t xml:space="preserve">! </w:t>
            </w:r>
            <w:proofErr w:type="spellStart"/>
            <w:r w:rsidRPr="00924C0F">
              <w:rPr>
                <w:rFonts w:cstheme="minorHAnsi"/>
                <w:sz w:val="22"/>
                <w:szCs w:val="22"/>
              </w:rPr>
              <w:t>Itsearvionti</w:t>
            </w:r>
            <w:proofErr w:type="spellEnd"/>
            <w:r w:rsidR="00013171" w:rsidRPr="00924C0F">
              <w:rPr>
                <w:rFonts w:cstheme="minorHAnsi"/>
                <w:sz w:val="22"/>
                <w:szCs w:val="22"/>
              </w:rPr>
              <w:t>.</w:t>
            </w:r>
          </w:p>
        </w:tc>
      </w:tr>
      <w:tr w:rsidR="0078235C" w:rsidRPr="00924C0F" w14:paraId="62B3944E" w14:textId="427DB10F" w:rsidTr="326C512C">
        <w:trPr>
          <w:trHeight w:val="284"/>
        </w:trPr>
        <w:tc>
          <w:tcPr>
            <w:tcW w:w="2819" w:type="dxa"/>
            <w:shd w:val="clear" w:color="auto" w:fill="auto"/>
            <w:tcMar>
              <w:top w:w="0" w:type="dxa"/>
              <w:left w:w="108" w:type="dxa"/>
              <w:bottom w:w="0" w:type="dxa"/>
              <w:right w:w="108" w:type="dxa"/>
            </w:tcMar>
          </w:tcPr>
          <w:p w14:paraId="42922FB8"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t xml:space="preserve">T2 ohjata oppilasta harjaannuttamaan eettistä arviointikykyään liittyen erilaisiin inhimillisiin, yhteiskunnallisiin ja taloudellisiin kysymyksiin </w:t>
            </w:r>
          </w:p>
        </w:tc>
        <w:tc>
          <w:tcPr>
            <w:tcW w:w="1131" w:type="dxa"/>
            <w:gridSpan w:val="2"/>
            <w:shd w:val="clear" w:color="auto" w:fill="auto"/>
            <w:tcMar>
              <w:top w:w="0" w:type="dxa"/>
              <w:left w:w="108" w:type="dxa"/>
              <w:bottom w:w="0" w:type="dxa"/>
              <w:right w:w="108" w:type="dxa"/>
            </w:tcMar>
          </w:tcPr>
          <w:p w14:paraId="7D3D800E"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S1–S4</w:t>
            </w:r>
          </w:p>
        </w:tc>
        <w:tc>
          <w:tcPr>
            <w:tcW w:w="2622" w:type="dxa"/>
            <w:shd w:val="clear" w:color="auto" w:fill="auto"/>
            <w:tcMar>
              <w:top w:w="0" w:type="dxa"/>
              <w:left w:w="108" w:type="dxa"/>
              <w:bottom w:w="0" w:type="dxa"/>
              <w:right w:w="108" w:type="dxa"/>
            </w:tcMar>
          </w:tcPr>
          <w:p w14:paraId="3B668D9A" w14:textId="77777777" w:rsidR="00A5499D" w:rsidRPr="00924C0F" w:rsidRDefault="00A5499D" w:rsidP="00924C0F">
            <w:pPr>
              <w:spacing w:after="0" w:line="276" w:lineRule="auto"/>
              <w:contextualSpacing/>
              <w:rPr>
                <w:rFonts w:cstheme="minorHAnsi"/>
                <w:i/>
                <w:iCs/>
                <w:sz w:val="22"/>
                <w:szCs w:val="22"/>
              </w:rPr>
            </w:pPr>
            <w:r w:rsidRPr="00924C0F">
              <w:rPr>
                <w:rFonts w:cstheme="minorHAnsi"/>
                <w:iCs/>
                <w:sz w:val="22"/>
                <w:szCs w:val="22"/>
              </w:rPr>
              <w:t>Oppilas oppii arvioimaan omien ja yhteiskunnan muiden toimijoiden yhteiskunnallisten ja taloudellisten valintojen eettisiä merkityksiä ja seurauksia.</w:t>
            </w:r>
          </w:p>
        </w:tc>
        <w:tc>
          <w:tcPr>
            <w:tcW w:w="1949" w:type="dxa"/>
            <w:gridSpan w:val="2"/>
            <w:shd w:val="clear" w:color="auto" w:fill="auto"/>
            <w:tcMar>
              <w:top w:w="0" w:type="dxa"/>
              <w:left w:w="108" w:type="dxa"/>
              <w:bottom w:w="0" w:type="dxa"/>
              <w:right w:w="108" w:type="dxa"/>
            </w:tcMar>
          </w:tcPr>
          <w:p w14:paraId="685311CD" w14:textId="77777777" w:rsidR="00A5499D" w:rsidRPr="00924C0F" w:rsidRDefault="00A5499D" w:rsidP="00924C0F">
            <w:pPr>
              <w:spacing w:after="0" w:line="276" w:lineRule="auto"/>
              <w:contextualSpacing/>
              <w:rPr>
                <w:rFonts w:cstheme="minorHAnsi"/>
                <w:iCs/>
                <w:sz w:val="22"/>
                <w:szCs w:val="22"/>
              </w:rPr>
            </w:pPr>
          </w:p>
        </w:tc>
        <w:tc>
          <w:tcPr>
            <w:tcW w:w="2531" w:type="dxa"/>
            <w:shd w:val="clear" w:color="auto" w:fill="auto"/>
            <w:tcMar>
              <w:top w:w="0" w:type="dxa"/>
              <w:left w:w="108" w:type="dxa"/>
              <w:bottom w:w="0" w:type="dxa"/>
              <w:right w:w="108" w:type="dxa"/>
            </w:tcMar>
          </w:tcPr>
          <w:p w14:paraId="55DEE2E7" w14:textId="77777777" w:rsidR="00A5499D" w:rsidRPr="00924C0F" w:rsidRDefault="00A5499D" w:rsidP="00924C0F">
            <w:pPr>
              <w:spacing w:after="0" w:line="276" w:lineRule="auto"/>
              <w:contextualSpacing/>
              <w:rPr>
                <w:rFonts w:cstheme="minorHAnsi"/>
                <w:i/>
                <w:iCs/>
                <w:sz w:val="22"/>
                <w:szCs w:val="22"/>
              </w:rPr>
            </w:pPr>
            <w:r w:rsidRPr="00924C0F">
              <w:rPr>
                <w:rFonts w:cstheme="minorHAnsi"/>
                <w:i/>
                <w:iCs/>
                <w:sz w:val="22"/>
                <w:szCs w:val="22"/>
              </w:rPr>
              <w:t>Ei käytetä arvosanan muodostamisen perusteena. Oppilasta ohjataan pohtimaan kokemuksiaan osana itsearviointia.</w:t>
            </w:r>
          </w:p>
        </w:tc>
        <w:tc>
          <w:tcPr>
            <w:tcW w:w="4111" w:type="dxa"/>
            <w:gridSpan w:val="2"/>
          </w:tcPr>
          <w:p w14:paraId="6AFE623D" w14:textId="0DF5A553" w:rsidR="00A5499D" w:rsidRPr="00924C0F" w:rsidRDefault="00013171" w:rsidP="00924C0F">
            <w:pPr>
              <w:spacing w:after="0" w:line="276" w:lineRule="auto"/>
              <w:contextualSpacing/>
              <w:rPr>
                <w:rFonts w:cstheme="minorHAnsi"/>
                <w:sz w:val="22"/>
                <w:szCs w:val="22"/>
              </w:rPr>
            </w:pPr>
            <w:proofErr w:type="spellStart"/>
            <w:r w:rsidRPr="00924C0F">
              <w:rPr>
                <w:rFonts w:cstheme="minorHAnsi"/>
                <w:sz w:val="22"/>
                <w:szCs w:val="22"/>
              </w:rPr>
              <w:t>Huom</w:t>
            </w:r>
            <w:proofErr w:type="spellEnd"/>
            <w:r w:rsidRPr="00924C0F">
              <w:rPr>
                <w:rFonts w:cstheme="minorHAnsi"/>
                <w:sz w:val="22"/>
                <w:szCs w:val="22"/>
              </w:rPr>
              <w:t>! Itsearviointi.</w:t>
            </w:r>
          </w:p>
        </w:tc>
      </w:tr>
      <w:tr w:rsidR="0078235C" w:rsidRPr="00924C0F" w14:paraId="39A70B9E" w14:textId="3C0BBD8A" w:rsidTr="326C512C">
        <w:trPr>
          <w:trHeight w:val="284"/>
        </w:trPr>
        <w:tc>
          <w:tcPr>
            <w:tcW w:w="2819" w:type="dxa"/>
            <w:shd w:val="clear" w:color="auto" w:fill="auto"/>
            <w:tcMar>
              <w:top w:w="0" w:type="dxa"/>
              <w:left w:w="108" w:type="dxa"/>
              <w:bottom w:w="0" w:type="dxa"/>
              <w:right w:w="108" w:type="dxa"/>
            </w:tcMar>
          </w:tcPr>
          <w:p w14:paraId="1E4D4CC1"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t xml:space="preserve">T3 ohjata oppilasta ymmärtämään oikeusvaltion periaatteita, </w:t>
            </w:r>
            <w:r w:rsidRPr="00924C0F">
              <w:rPr>
                <w:rFonts w:cstheme="minorHAnsi"/>
                <w:sz w:val="22"/>
                <w:szCs w:val="22"/>
              </w:rPr>
              <w:t xml:space="preserve">ihmisoikeuksien yleismaailmallista merkitystä </w:t>
            </w:r>
            <w:r w:rsidRPr="00924C0F">
              <w:rPr>
                <w:rFonts w:eastAsia="Calibri" w:cstheme="minorHAnsi"/>
                <w:sz w:val="22"/>
                <w:szCs w:val="22"/>
              </w:rPr>
              <w:t>sekä syventämään tietojaan suomalaisen oikeusjärjestelmän toiminnasta</w:t>
            </w:r>
          </w:p>
        </w:tc>
        <w:tc>
          <w:tcPr>
            <w:tcW w:w="1131" w:type="dxa"/>
            <w:gridSpan w:val="2"/>
            <w:shd w:val="clear" w:color="auto" w:fill="auto"/>
            <w:tcMar>
              <w:top w:w="0" w:type="dxa"/>
              <w:left w:w="108" w:type="dxa"/>
              <w:bottom w:w="0" w:type="dxa"/>
              <w:right w:w="108" w:type="dxa"/>
            </w:tcMar>
          </w:tcPr>
          <w:p w14:paraId="1686487B"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S2, S3</w:t>
            </w:r>
          </w:p>
        </w:tc>
        <w:tc>
          <w:tcPr>
            <w:tcW w:w="2622" w:type="dxa"/>
            <w:shd w:val="clear" w:color="auto" w:fill="auto"/>
            <w:tcMar>
              <w:top w:w="0" w:type="dxa"/>
              <w:left w:w="108" w:type="dxa"/>
              <w:bottom w:w="0" w:type="dxa"/>
              <w:right w:w="108" w:type="dxa"/>
            </w:tcMar>
          </w:tcPr>
          <w:p w14:paraId="38974B49"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Oppilas oppii ymmärtämään ihmisoikeuksien merkityksen ja oikeusvaltion periaatteet sekä niiden kytkeytymisen suomalaiseen oikeusjärjestelmään.</w:t>
            </w:r>
          </w:p>
        </w:tc>
        <w:tc>
          <w:tcPr>
            <w:tcW w:w="1949" w:type="dxa"/>
            <w:gridSpan w:val="2"/>
            <w:shd w:val="clear" w:color="auto" w:fill="auto"/>
            <w:tcMar>
              <w:top w:w="0" w:type="dxa"/>
              <w:left w:w="108" w:type="dxa"/>
              <w:bottom w:w="0" w:type="dxa"/>
              <w:right w:w="108" w:type="dxa"/>
            </w:tcMar>
          </w:tcPr>
          <w:p w14:paraId="1F2FF6A1"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t>Oikeusvaltion periaatteiden ja toiminnan sekä ihmisoikeuksien hahmottaminen</w:t>
            </w:r>
          </w:p>
          <w:p w14:paraId="0E15406E" w14:textId="77777777" w:rsidR="00A5499D" w:rsidRPr="00924C0F" w:rsidRDefault="00A5499D" w:rsidP="00924C0F">
            <w:pPr>
              <w:spacing w:after="0" w:line="276" w:lineRule="auto"/>
              <w:contextualSpacing/>
              <w:rPr>
                <w:rFonts w:eastAsia="Times New Roman" w:cstheme="minorHAnsi"/>
                <w:sz w:val="22"/>
                <w:szCs w:val="22"/>
                <w:lang w:eastAsia="fi-FI"/>
              </w:rPr>
            </w:pPr>
          </w:p>
          <w:p w14:paraId="60556971" w14:textId="77777777" w:rsidR="00A5499D" w:rsidRPr="00924C0F" w:rsidRDefault="00A5499D" w:rsidP="00924C0F">
            <w:pPr>
              <w:spacing w:after="0" w:line="276" w:lineRule="auto"/>
              <w:contextualSpacing/>
              <w:rPr>
                <w:rFonts w:eastAsia="Times New Roman" w:cstheme="minorHAnsi"/>
                <w:sz w:val="22"/>
                <w:szCs w:val="22"/>
                <w:lang w:eastAsia="fi-FI"/>
              </w:rPr>
            </w:pPr>
          </w:p>
          <w:p w14:paraId="47BAF7B5" w14:textId="77777777" w:rsidR="00A5499D" w:rsidRPr="00924C0F" w:rsidRDefault="00A5499D" w:rsidP="00924C0F">
            <w:pPr>
              <w:spacing w:after="0" w:line="276" w:lineRule="auto"/>
              <w:contextualSpacing/>
              <w:rPr>
                <w:rFonts w:eastAsia="Times New Roman" w:cstheme="minorHAnsi"/>
                <w:sz w:val="22"/>
                <w:szCs w:val="22"/>
                <w:lang w:eastAsia="fi-FI"/>
              </w:rPr>
            </w:pPr>
          </w:p>
          <w:p w14:paraId="6ABDA48E" w14:textId="77777777" w:rsidR="00A5499D" w:rsidRPr="00924C0F" w:rsidRDefault="00A5499D" w:rsidP="00924C0F">
            <w:pPr>
              <w:spacing w:after="0" w:line="276" w:lineRule="auto"/>
              <w:contextualSpacing/>
              <w:rPr>
                <w:rFonts w:eastAsia="Times New Roman" w:cstheme="minorHAnsi"/>
                <w:sz w:val="22"/>
                <w:szCs w:val="22"/>
                <w:lang w:eastAsia="fi-FI"/>
              </w:rPr>
            </w:pPr>
          </w:p>
        </w:tc>
        <w:tc>
          <w:tcPr>
            <w:tcW w:w="2531" w:type="dxa"/>
            <w:shd w:val="clear" w:color="auto" w:fill="auto"/>
            <w:tcMar>
              <w:top w:w="0" w:type="dxa"/>
              <w:left w:w="108" w:type="dxa"/>
              <w:bottom w:w="0" w:type="dxa"/>
              <w:right w:w="108" w:type="dxa"/>
            </w:tcMar>
          </w:tcPr>
          <w:p w14:paraId="085ED892"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 xml:space="preserve">Oppilas tunnistaa esimerkeistä ihmisoikeuksia sekä oikeusvaltion keskeisiä toimijoita ja toimintaperiaatteita. </w:t>
            </w:r>
          </w:p>
        </w:tc>
        <w:tc>
          <w:tcPr>
            <w:tcW w:w="4111" w:type="dxa"/>
            <w:gridSpan w:val="2"/>
          </w:tcPr>
          <w:p w14:paraId="7ADF9772" w14:textId="4FEB7484" w:rsidR="00A5499D" w:rsidRPr="00924C0F" w:rsidRDefault="5C4FDE67" w:rsidP="00924C0F">
            <w:pPr>
              <w:spacing w:after="0" w:line="276" w:lineRule="auto"/>
              <w:contextualSpacing/>
              <w:rPr>
                <w:sz w:val="22"/>
                <w:szCs w:val="22"/>
              </w:rPr>
            </w:pPr>
            <w:r w:rsidRPr="00924C0F">
              <w:rPr>
                <w:sz w:val="22"/>
                <w:szCs w:val="22"/>
              </w:rPr>
              <w:t xml:space="preserve">Integroitavissa UE/ET 9lk kanssa. </w:t>
            </w:r>
          </w:p>
          <w:p w14:paraId="5F531416" w14:textId="5C342802" w:rsidR="00A5499D" w:rsidRPr="00924C0F" w:rsidRDefault="00A5499D" w:rsidP="00924C0F">
            <w:pPr>
              <w:spacing w:after="0" w:line="276" w:lineRule="auto"/>
              <w:contextualSpacing/>
              <w:rPr>
                <w:sz w:val="22"/>
                <w:szCs w:val="22"/>
              </w:rPr>
            </w:pPr>
          </w:p>
          <w:p w14:paraId="26295C47" w14:textId="64526960" w:rsidR="00A5499D" w:rsidRPr="00924C0F" w:rsidRDefault="07D613CE" w:rsidP="00924C0F">
            <w:pPr>
              <w:spacing w:after="0" w:line="276" w:lineRule="auto"/>
              <w:contextualSpacing/>
              <w:rPr>
                <w:sz w:val="22"/>
                <w:szCs w:val="22"/>
              </w:rPr>
            </w:pPr>
            <w:r w:rsidRPr="00924C0F">
              <w:rPr>
                <w:sz w:val="22"/>
                <w:szCs w:val="22"/>
              </w:rPr>
              <w:t>Oppikirjan materiaalien lisäksi esim. i</w:t>
            </w:r>
            <w:r w:rsidR="5C4FDE67" w:rsidRPr="00924C0F">
              <w:rPr>
                <w:sz w:val="22"/>
                <w:szCs w:val="22"/>
              </w:rPr>
              <w:t>hmisoikeuksien julistuksen pilkkominen.</w:t>
            </w:r>
            <w:r w:rsidR="0E3CAA32" w:rsidRPr="00924C0F">
              <w:rPr>
                <w:sz w:val="22"/>
                <w:szCs w:val="22"/>
              </w:rPr>
              <w:t xml:space="preserve"> </w:t>
            </w:r>
            <w:r w:rsidR="1538B071" w:rsidRPr="00924C0F">
              <w:rPr>
                <w:sz w:val="22"/>
                <w:szCs w:val="22"/>
              </w:rPr>
              <w:t>Oikeusministeriö.fi/</w:t>
            </w:r>
            <w:r w:rsidR="40348D6D" w:rsidRPr="00924C0F">
              <w:rPr>
                <w:sz w:val="22"/>
                <w:szCs w:val="22"/>
              </w:rPr>
              <w:t xml:space="preserve"> </w:t>
            </w:r>
            <w:r w:rsidR="1538B071" w:rsidRPr="00924C0F">
              <w:rPr>
                <w:sz w:val="22"/>
                <w:szCs w:val="22"/>
              </w:rPr>
              <w:t xml:space="preserve">valtioneuvosto.fi. Tietoa oikeusvaltiosta. </w:t>
            </w:r>
          </w:p>
          <w:p w14:paraId="6245E642" w14:textId="1450E8A3" w:rsidR="00A5499D" w:rsidRPr="00924C0F" w:rsidRDefault="00A5499D" w:rsidP="00924C0F">
            <w:pPr>
              <w:spacing w:after="0" w:line="276" w:lineRule="auto"/>
              <w:contextualSpacing/>
              <w:rPr>
                <w:sz w:val="22"/>
                <w:szCs w:val="22"/>
              </w:rPr>
            </w:pPr>
          </w:p>
          <w:p w14:paraId="297328E2" w14:textId="6B27CD7F" w:rsidR="00A5499D" w:rsidRPr="00924C0F" w:rsidRDefault="01DD221D" w:rsidP="00924C0F">
            <w:pPr>
              <w:spacing w:after="0" w:line="276" w:lineRule="auto"/>
              <w:contextualSpacing/>
              <w:rPr>
                <w:sz w:val="22"/>
                <w:szCs w:val="22"/>
              </w:rPr>
            </w:pPr>
            <w:r w:rsidRPr="00924C0F">
              <w:rPr>
                <w:sz w:val="22"/>
                <w:szCs w:val="22"/>
              </w:rPr>
              <w:t>Mahdollisuus toiminnalliseen suoritukseen esim. oikeudenkäynnin prosessi draamaharjoituksena tai vierailu käräjäoikeuteen.</w:t>
            </w:r>
          </w:p>
        </w:tc>
      </w:tr>
      <w:tr w:rsidR="0078235C" w:rsidRPr="00924C0F" w14:paraId="1291F6DE" w14:textId="41F42019" w:rsidTr="326C512C">
        <w:trPr>
          <w:trHeight w:val="284"/>
        </w:trPr>
        <w:tc>
          <w:tcPr>
            <w:tcW w:w="2819" w:type="dxa"/>
            <w:shd w:val="clear" w:color="auto" w:fill="auto"/>
            <w:tcMar>
              <w:top w:w="0" w:type="dxa"/>
              <w:left w:w="108" w:type="dxa"/>
              <w:bottom w:w="0" w:type="dxa"/>
              <w:right w:w="108" w:type="dxa"/>
            </w:tcMar>
          </w:tcPr>
          <w:p w14:paraId="5875772D"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lastRenderedPageBreak/>
              <w:t>T4</w:t>
            </w:r>
            <w:r w:rsidRPr="00924C0F">
              <w:rPr>
                <w:rFonts w:eastAsia="Calibri" w:cstheme="minorHAnsi"/>
                <w:b/>
                <w:sz w:val="22"/>
                <w:szCs w:val="22"/>
              </w:rPr>
              <w:t xml:space="preserve"> </w:t>
            </w:r>
            <w:r w:rsidRPr="00924C0F">
              <w:rPr>
                <w:rFonts w:eastAsia="Calibri" w:cstheme="minorHAnsi"/>
                <w:sz w:val="22"/>
                <w:szCs w:val="22"/>
              </w:rPr>
              <w:t xml:space="preserve">ohjata oppilasta syventämään ja pitämään ajan tasalla yhteiskuntaa, talouden toimintaa ja yksityistä taloudenpitoa koskevia tietojaan ja taitojaan sekä arvioimaan kriittisesti median roolia ja merkitystä </w:t>
            </w:r>
          </w:p>
        </w:tc>
        <w:tc>
          <w:tcPr>
            <w:tcW w:w="1131" w:type="dxa"/>
            <w:gridSpan w:val="2"/>
            <w:shd w:val="clear" w:color="auto" w:fill="auto"/>
            <w:tcMar>
              <w:top w:w="0" w:type="dxa"/>
              <w:left w:w="108" w:type="dxa"/>
              <w:bottom w:w="0" w:type="dxa"/>
              <w:right w:w="108" w:type="dxa"/>
            </w:tcMar>
          </w:tcPr>
          <w:p w14:paraId="2D69DDD4"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 xml:space="preserve">S1–S3 </w:t>
            </w:r>
          </w:p>
        </w:tc>
        <w:tc>
          <w:tcPr>
            <w:tcW w:w="2622" w:type="dxa"/>
            <w:shd w:val="clear" w:color="auto" w:fill="auto"/>
            <w:tcMar>
              <w:top w:w="0" w:type="dxa"/>
              <w:left w:w="108" w:type="dxa"/>
              <w:bottom w:w="0" w:type="dxa"/>
              <w:right w:w="108" w:type="dxa"/>
            </w:tcMar>
          </w:tcPr>
          <w:p w14:paraId="516FD7BF"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Oppilas oppii ymmärtämään yhteiskunnan toiminnan sekä yksityisen että julkisen taloudenpidon periaatteita. Hän oppii tarkastelemaan kriittisesti median yhteiskunnallista roolia.</w:t>
            </w:r>
          </w:p>
        </w:tc>
        <w:tc>
          <w:tcPr>
            <w:tcW w:w="1949" w:type="dxa"/>
            <w:gridSpan w:val="2"/>
            <w:shd w:val="clear" w:color="auto" w:fill="auto"/>
            <w:tcMar>
              <w:top w:w="0" w:type="dxa"/>
              <w:left w:w="108" w:type="dxa"/>
              <w:bottom w:w="0" w:type="dxa"/>
              <w:right w:w="108" w:type="dxa"/>
            </w:tcMar>
          </w:tcPr>
          <w:p w14:paraId="3E9CD6EB" w14:textId="65A55D87" w:rsidR="00A5499D" w:rsidRPr="00924C0F" w:rsidRDefault="00A5499D" w:rsidP="00924C0F">
            <w:pPr>
              <w:spacing w:after="0" w:line="276" w:lineRule="auto"/>
              <w:contextualSpacing/>
              <w:rPr>
                <w:sz w:val="22"/>
                <w:szCs w:val="22"/>
              </w:rPr>
            </w:pPr>
            <w:r w:rsidRPr="00924C0F">
              <w:rPr>
                <w:sz w:val="22"/>
                <w:szCs w:val="22"/>
              </w:rPr>
              <w:t>Yhteiskuntaa, mediaa, taloutta ja taloudenpitoa</w:t>
            </w:r>
            <w:r w:rsidRPr="00924C0F">
              <w:rPr>
                <w:i/>
                <w:iCs/>
                <w:sz w:val="22"/>
                <w:szCs w:val="22"/>
              </w:rPr>
              <w:t xml:space="preserve"> </w:t>
            </w:r>
            <w:r w:rsidRPr="00924C0F">
              <w:rPr>
                <w:sz w:val="22"/>
                <w:szCs w:val="22"/>
              </w:rPr>
              <w:t xml:space="preserve">koskevat tiedot ja taidot </w:t>
            </w:r>
          </w:p>
        </w:tc>
        <w:tc>
          <w:tcPr>
            <w:tcW w:w="2531" w:type="dxa"/>
            <w:shd w:val="clear" w:color="auto" w:fill="auto"/>
            <w:tcMar>
              <w:top w:w="0" w:type="dxa"/>
              <w:left w:w="108" w:type="dxa"/>
              <w:bottom w:w="0" w:type="dxa"/>
              <w:right w:w="108" w:type="dxa"/>
            </w:tcMar>
          </w:tcPr>
          <w:p w14:paraId="21EDD4D5"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 xml:space="preserve">Oppilas tunnistaa ohjatusti yhteiskuntaan ja talouteen liittyviä asioita. </w:t>
            </w:r>
          </w:p>
          <w:p w14:paraId="3C0AB297" w14:textId="77777777" w:rsidR="00A5499D" w:rsidRPr="00924C0F" w:rsidRDefault="00A5499D" w:rsidP="00924C0F">
            <w:pPr>
              <w:spacing w:after="0" w:line="276" w:lineRule="auto"/>
              <w:contextualSpacing/>
              <w:rPr>
                <w:rFonts w:cstheme="minorHAnsi"/>
                <w:iCs/>
                <w:sz w:val="22"/>
                <w:szCs w:val="22"/>
              </w:rPr>
            </w:pPr>
          </w:p>
          <w:p w14:paraId="01722213"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Oppilas löytää ohjatusti yhteiskuntaa ja taloutta koskevaa tietoa hänelle annetusta lähteestä sekä antaa ohjatusti esimerkin median toiminnasta tiedon välittäjänä.</w:t>
            </w:r>
          </w:p>
        </w:tc>
        <w:tc>
          <w:tcPr>
            <w:tcW w:w="4111" w:type="dxa"/>
            <w:gridSpan w:val="2"/>
          </w:tcPr>
          <w:p w14:paraId="586501B3" w14:textId="4BA3E9B2" w:rsidR="00A5499D" w:rsidRPr="00924C0F" w:rsidRDefault="724A9D89" w:rsidP="00924C0F">
            <w:pPr>
              <w:spacing w:after="0" w:line="276" w:lineRule="auto"/>
              <w:contextualSpacing/>
              <w:rPr>
                <w:sz w:val="22"/>
                <w:szCs w:val="22"/>
              </w:rPr>
            </w:pPr>
            <w:r w:rsidRPr="00924C0F">
              <w:rPr>
                <w:sz w:val="22"/>
                <w:szCs w:val="22"/>
              </w:rPr>
              <w:t xml:space="preserve">Oppikirjan materiaalien lisäksi esim. uutiset, dokumentit, videot, infograafit, podcastit. </w:t>
            </w:r>
          </w:p>
          <w:p w14:paraId="2FB29227" w14:textId="271CE029" w:rsidR="00A5499D" w:rsidRPr="00924C0F" w:rsidRDefault="00A5499D" w:rsidP="00924C0F">
            <w:pPr>
              <w:spacing w:after="0" w:line="276" w:lineRule="auto"/>
              <w:contextualSpacing/>
              <w:rPr>
                <w:sz w:val="22"/>
                <w:szCs w:val="22"/>
              </w:rPr>
            </w:pPr>
          </w:p>
          <w:p w14:paraId="4D802930" w14:textId="49342D94" w:rsidR="00A5499D" w:rsidRPr="00924C0F" w:rsidRDefault="3216663E" w:rsidP="00924C0F">
            <w:pPr>
              <w:spacing w:after="0" w:line="276" w:lineRule="auto"/>
              <w:contextualSpacing/>
              <w:rPr>
                <w:sz w:val="22"/>
                <w:szCs w:val="22"/>
              </w:rPr>
            </w:pPr>
            <w:r w:rsidRPr="00924C0F">
              <w:rPr>
                <w:sz w:val="22"/>
                <w:szCs w:val="22"/>
              </w:rPr>
              <w:t xml:space="preserve">Esim. Nuori yrittäjyys ja talous ja nuoret </w:t>
            </w:r>
            <w:r w:rsidR="534825C7" w:rsidRPr="00924C0F">
              <w:rPr>
                <w:sz w:val="22"/>
                <w:szCs w:val="22"/>
              </w:rPr>
              <w:t>(</w:t>
            </w:r>
            <w:r w:rsidRPr="00924C0F">
              <w:rPr>
                <w:sz w:val="22"/>
                <w:szCs w:val="22"/>
              </w:rPr>
              <w:t>NYT TAT</w:t>
            </w:r>
            <w:r w:rsidR="70362C58" w:rsidRPr="00924C0F">
              <w:rPr>
                <w:sz w:val="22"/>
                <w:szCs w:val="22"/>
              </w:rPr>
              <w:t>)</w:t>
            </w:r>
            <w:r w:rsidRPr="00924C0F">
              <w:rPr>
                <w:sz w:val="22"/>
                <w:szCs w:val="22"/>
              </w:rPr>
              <w:t xml:space="preserve"> tai </w:t>
            </w:r>
            <w:proofErr w:type="spellStart"/>
            <w:r w:rsidRPr="00924C0F">
              <w:rPr>
                <w:sz w:val="22"/>
                <w:szCs w:val="22"/>
              </w:rPr>
              <w:t>Duunikoutsi</w:t>
            </w:r>
            <w:proofErr w:type="spellEnd"/>
            <w:r w:rsidRPr="00924C0F">
              <w:rPr>
                <w:sz w:val="22"/>
                <w:szCs w:val="22"/>
              </w:rPr>
              <w:t xml:space="preserve"> –videot nuorille. Euroopan keskuspankin sivut opettajille. </w:t>
            </w:r>
            <w:r w:rsidR="6ECBF8E8" w:rsidRPr="00924C0F">
              <w:rPr>
                <w:sz w:val="22"/>
                <w:szCs w:val="22"/>
              </w:rPr>
              <w:t xml:space="preserve">OPH:n </w:t>
            </w:r>
            <w:r w:rsidR="5389EEF0" w:rsidRPr="00924C0F">
              <w:rPr>
                <w:sz w:val="22"/>
                <w:szCs w:val="22"/>
              </w:rPr>
              <w:t xml:space="preserve">yhteiskuntaopin materiaalit. </w:t>
            </w:r>
          </w:p>
        </w:tc>
      </w:tr>
      <w:tr w:rsidR="0078235C" w:rsidRPr="00924C0F" w14:paraId="2FB35A6C" w14:textId="48B8E290" w:rsidTr="326C512C">
        <w:trPr>
          <w:trHeight w:val="284"/>
        </w:trPr>
        <w:tc>
          <w:tcPr>
            <w:tcW w:w="2819" w:type="dxa"/>
            <w:shd w:val="clear" w:color="auto" w:fill="auto"/>
            <w:tcMar>
              <w:top w:w="0" w:type="dxa"/>
              <w:left w:w="108" w:type="dxa"/>
              <w:bottom w:w="0" w:type="dxa"/>
              <w:right w:w="108" w:type="dxa"/>
            </w:tcMar>
          </w:tcPr>
          <w:p w14:paraId="04B84C77"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t>T5</w:t>
            </w:r>
            <w:r w:rsidRPr="00924C0F">
              <w:rPr>
                <w:rFonts w:eastAsia="Calibri" w:cstheme="minorHAnsi"/>
                <w:b/>
                <w:sz w:val="22"/>
                <w:szCs w:val="22"/>
              </w:rPr>
              <w:t xml:space="preserve"> </w:t>
            </w:r>
            <w:r w:rsidRPr="00924C0F">
              <w:rPr>
                <w:rFonts w:eastAsia="Calibri" w:cstheme="minorHAnsi"/>
                <w:sz w:val="22"/>
                <w:szCs w:val="22"/>
              </w:rPr>
              <w:t xml:space="preserve">rohkaista oppilasta kehittymään yritteliääksi ja vastuulliseksi taloudelliseksi toimijaksi, joka hahmottaa yrittäjyyttä ja työelämää, tuntee niiden tarjoamia mahdollisuuksia ja osaa suunnitella omaa tulevaisuuttaan </w:t>
            </w:r>
          </w:p>
        </w:tc>
        <w:tc>
          <w:tcPr>
            <w:tcW w:w="1131" w:type="dxa"/>
            <w:gridSpan w:val="2"/>
            <w:shd w:val="clear" w:color="auto" w:fill="auto"/>
            <w:tcMar>
              <w:top w:w="0" w:type="dxa"/>
              <w:left w:w="108" w:type="dxa"/>
              <w:bottom w:w="0" w:type="dxa"/>
              <w:right w:w="108" w:type="dxa"/>
            </w:tcMar>
          </w:tcPr>
          <w:p w14:paraId="2D5A177C"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S1–S4</w:t>
            </w:r>
          </w:p>
        </w:tc>
        <w:tc>
          <w:tcPr>
            <w:tcW w:w="2622" w:type="dxa"/>
            <w:shd w:val="clear" w:color="auto" w:fill="auto"/>
            <w:tcMar>
              <w:top w:w="0" w:type="dxa"/>
              <w:left w:w="108" w:type="dxa"/>
              <w:bottom w:w="0" w:type="dxa"/>
              <w:right w:w="108" w:type="dxa"/>
            </w:tcMar>
          </w:tcPr>
          <w:p w14:paraId="7443AC40"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Oppilas oppii toimimaan työelämää ja yrittäjyyttä tuntevana taloudellisena toimijana.</w:t>
            </w:r>
          </w:p>
        </w:tc>
        <w:tc>
          <w:tcPr>
            <w:tcW w:w="1949" w:type="dxa"/>
            <w:gridSpan w:val="2"/>
            <w:shd w:val="clear" w:color="auto" w:fill="auto"/>
            <w:tcMar>
              <w:top w:w="0" w:type="dxa"/>
              <w:left w:w="108" w:type="dxa"/>
              <w:bottom w:w="0" w:type="dxa"/>
              <w:right w:w="108" w:type="dxa"/>
            </w:tcMar>
          </w:tcPr>
          <w:p w14:paraId="6333FE49" w14:textId="77777777" w:rsidR="00A5499D" w:rsidRPr="00924C0F" w:rsidRDefault="00A5499D" w:rsidP="00924C0F">
            <w:pPr>
              <w:spacing w:after="0" w:line="276" w:lineRule="auto"/>
              <w:contextualSpacing/>
              <w:rPr>
                <w:rFonts w:cstheme="minorHAnsi"/>
                <w:iCs/>
                <w:sz w:val="22"/>
                <w:szCs w:val="22"/>
              </w:rPr>
            </w:pPr>
            <w:r w:rsidRPr="00924C0F">
              <w:rPr>
                <w:rFonts w:cstheme="minorHAnsi"/>
                <w:sz w:val="22"/>
                <w:szCs w:val="22"/>
              </w:rPr>
              <w:t>Yrittäjyys- ja työelämätaitojen käyttäminen ja soveltaminen</w:t>
            </w:r>
          </w:p>
        </w:tc>
        <w:tc>
          <w:tcPr>
            <w:tcW w:w="2531" w:type="dxa"/>
            <w:shd w:val="clear" w:color="auto" w:fill="auto"/>
            <w:tcMar>
              <w:top w:w="0" w:type="dxa"/>
              <w:left w:w="108" w:type="dxa"/>
              <w:bottom w:w="0" w:type="dxa"/>
              <w:right w:w="108" w:type="dxa"/>
            </w:tcMar>
          </w:tcPr>
          <w:p w14:paraId="5CAF0F75"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Oppilas osoittaa tunnistavansa ohjatusti palkkatyön ja yrittäjyyden eroja sekä palkkatyötä ja yrittäjyyttä edustavia ammatteja.</w:t>
            </w:r>
          </w:p>
          <w:p w14:paraId="42F0ECA5" w14:textId="77777777" w:rsidR="00A5499D" w:rsidRPr="00924C0F" w:rsidRDefault="00A5499D" w:rsidP="00924C0F">
            <w:pPr>
              <w:spacing w:after="0" w:line="276" w:lineRule="auto"/>
              <w:contextualSpacing/>
              <w:rPr>
                <w:rFonts w:cstheme="minorHAnsi"/>
                <w:iCs/>
                <w:sz w:val="22"/>
                <w:szCs w:val="22"/>
              </w:rPr>
            </w:pPr>
          </w:p>
        </w:tc>
        <w:tc>
          <w:tcPr>
            <w:tcW w:w="4111" w:type="dxa"/>
            <w:gridSpan w:val="2"/>
          </w:tcPr>
          <w:p w14:paraId="77D89D21" w14:textId="588DEF70" w:rsidR="00A5499D" w:rsidRPr="00924C0F" w:rsidRDefault="05E5D97C" w:rsidP="00924C0F">
            <w:pPr>
              <w:spacing w:after="0" w:line="276" w:lineRule="auto"/>
              <w:contextualSpacing/>
              <w:rPr>
                <w:sz w:val="22"/>
                <w:szCs w:val="22"/>
              </w:rPr>
            </w:pPr>
            <w:r w:rsidRPr="00924C0F">
              <w:rPr>
                <w:sz w:val="22"/>
                <w:szCs w:val="22"/>
              </w:rPr>
              <w:t xml:space="preserve">Oppilaalle annetaan </w:t>
            </w:r>
            <w:r w:rsidR="0430D7C5" w:rsidRPr="00924C0F">
              <w:rPr>
                <w:sz w:val="22"/>
                <w:szCs w:val="22"/>
              </w:rPr>
              <w:t xml:space="preserve">esim. </w:t>
            </w:r>
            <w:r w:rsidRPr="00924C0F">
              <w:rPr>
                <w:sz w:val="22"/>
                <w:szCs w:val="22"/>
              </w:rPr>
              <w:t xml:space="preserve">kokoelma erilaisia ammatteja, niiden kuvauksia ja niihin liittyviä ominaisuuksia (esim. kuukausipalkka). </w:t>
            </w:r>
            <w:r w:rsidR="368CC250" w:rsidRPr="00924C0F">
              <w:rPr>
                <w:sz w:val="22"/>
                <w:szCs w:val="22"/>
              </w:rPr>
              <w:t>Oppilas lajittelee ja järjestelee niitä keskustelemalla tai kirjallisesti.</w:t>
            </w:r>
          </w:p>
        </w:tc>
      </w:tr>
      <w:tr w:rsidR="0078235C" w:rsidRPr="00924C0F" w14:paraId="27F6675C" w14:textId="4C10EDA1" w:rsidTr="326C512C">
        <w:trPr>
          <w:trHeight w:val="284"/>
        </w:trPr>
        <w:tc>
          <w:tcPr>
            <w:tcW w:w="2819" w:type="dxa"/>
            <w:shd w:val="clear" w:color="auto" w:fill="auto"/>
            <w:tcMar>
              <w:top w:w="0" w:type="dxa"/>
              <w:left w:w="108" w:type="dxa"/>
              <w:bottom w:w="0" w:type="dxa"/>
              <w:right w:w="108" w:type="dxa"/>
            </w:tcMar>
          </w:tcPr>
          <w:p w14:paraId="0EA0AAF8" w14:textId="77777777" w:rsidR="00A5499D" w:rsidRPr="00924C0F" w:rsidRDefault="00A5499D" w:rsidP="00924C0F">
            <w:pPr>
              <w:spacing w:after="0" w:line="276" w:lineRule="auto"/>
              <w:contextualSpacing/>
              <w:rPr>
                <w:rFonts w:cstheme="minorHAnsi"/>
                <w:sz w:val="22"/>
                <w:szCs w:val="22"/>
              </w:rPr>
            </w:pPr>
            <w:r w:rsidRPr="00924C0F">
              <w:rPr>
                <w:rFonts w:eastAsia="Calibri" w:cstheme="minorHAnsi"/>
                <w:sz w:val="22"/>
                <w:szCs w:val="22"/>
              </w:rPr>
              <w:t>T6</w:t>
            </w:r>
            <w:r w:rsidRPr="00924C0F">
              <w:rPr>
                <w:rFonts w:eastAsia="Calibri" w:cstheme="minorHAnsi"/>
                <w:b/>
                <w:sz w:val="22"/>
                <w:szCs w:val="22"/>
              </w:rPr>
              <w:t xml:space="preserve"> </w:t>
            </w:r>
            <w:r w:rsidRPr="00924C0F">
              <w:rPr>
                <w:rFonts w:cstheme="minorHAnsi"/>
                <w:sz w:val="22"/>
                <w:szCs w:val="22"/>
              </w:rPr>
              <w:t>ohjata oppilasta tarkastelemaan yhteiskunnallista toimintaa sekä eri yhteisöjä ja vähemmistöryhmiä monipuolisesti ja avarakatseisesti</w:t>
            </w:r>
          </w:p>
        </w:tc>
        <w:tc>
          <w:tcPr>
            <w:tcW w:w="1131" w:type="dxa"/>
            <w:gridSpan w:val="2"/>
            <w:shd w:val="clear" w:color="auto" w:fill="auto"/>
            <w:tcMar>
              <w:top w:w="0" w:type="dxa"/>
              <w:left w:w="108" w:type="dxa"/>
              <w:bottom w:w="0" w:type="dxa"/>
              <w:right w:w="108" w:type="dxa"/>
            </w:tcMar>
          </w:tcPr>
          <w:p w14:paraId="44CB9561"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 xml:space="preserve">S1–S3 </w:t>
            </w:r>
          </w:p>
        </w:tc>
        <w:tc>
          <w:tcPr>
            <w:tcW w:w="2622" w:type="dxa"/>
            <w:shd w:val="clear" w:color="auto" w:fill="auto"/>
            <w:tcMar>
              <w:top w:w="0" w:type="dxa"/>
              <w:left w:w="108" w:type="dxa"/>
              <w:bottom w:w="0" w:type="dxa"/>
              <w:right w:w="108" w:type="dxa"/>
            </w:tcMar>
          </w:tcPr>
          <w:p w14:paraId="512E874C"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 xml:space="preserve">Oppilas oppii analysoimaan yhteiskunnan eri yhteisöjä ja väestöryhmiä. </w:t>
            </w:r>
          </w:p>
        </w:tc>
        <w:tc>
          <w:tcPr>
            <w:tcW w:w="1949" w:type="dxa"/>
            <w:gridSpan w:val="2"/>
            <w:shd w:val="clear" w:color="auto" w:fill="auto"/>
            <w:tcMar>
              <w:top w:w="0" w:type="dxa"/>
              <w:left w:w="108" w:type="dxa"/>
              <w:bottom w:w="0" w:type="dxa"/>
              <w:right w:w="108" w:type="dxa"/>
            </w:tcMar>
          </w:tcPr>
          <w:p w14:paraId="01095F61"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Eri yhteisöjen ja väestöryhmien monipuolinen tarkastelu</w:t>
            </w:r>
          </w:p>
          <w:p w14:paraId="5F9CCDE0" w14:textId="77777777" w:rsidR="00A5499D" w:rsidRPr="00924C0F" w:rsidRDefault="00A5499D" w:rsidP="00924C0F">
            <w:pPr>
              <w:spacing w:after="0" w:line="276" w:lineRule="auto"/>
              <w:contextualSpacing/>
              <w:rPr>
                <w:rFonts w:cstheme="minorHAnsi"/>
                <w:iCs/>
                <w:sz w:val="22"/>
                <w:szCs w:val="22"/>
              </w:rPr>
            </w:pPr>
          </w:p>
        </w:tc>
        <w:tc>
          <w:tcPr>
            <w:tcW w:w="2531" w:type="dxa"/>
            <w:shd w:val="clear" w:color="auto" w:fill="auto"/>
            <w:tcMar>
              <w:top w:w="0" w:type="dxa"/>
              <w:left w:w="108" w:type="dxa"/>
              <w:bottom w:w="0" w:type="dxa"/>
              <w:right w:w="108" w:type="dxa"/>
            </w:tcMar>
          </w:tcPr>
          <w:p w14:paraId="1D92E8B7"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Oppilas osoittaa tunnistavansa esimerkkien avulla suomalaisessa yhteiskunnassa olevia yhteisöjä tai vähemmistöryhmiä.</w:t>
            </w:r>
          </w:p>
        </w:tc>
        <w:tc>
          <w:tcPr>
            <w:tcW w:w="4111" w:type="dxa"/>
            <w:gridSpan w:val="2"/>
          </w:tcPr>
          <w:p w14:paraId="40791008" w14:textId="5F3B4B42" w:rsidR="00A5499D" w:rsidRPr="00924C0F" w:rsidRDefault="0CCE2D11" w:rsidP="00924C0F">
            <w:pPr>
              <w:spacing w:after="0" w:line="276" w:lineRule="auto"/>
              <w:contextualSpacing/>
              <w:rPr>
                <w:sz w:val="22"/>
                <w:szCs w:val="22"/>
              </w:rPr>
            </w:pPr>
            <w:r w:rsidRPr="00924C0F">
              <w:rPr>
                <w:sz w:val="22"/>
                <w:szCs w:val="22"/>
              </w:rPr>
              <w:t>Kuvat</w:t>
            </w:r>
            <w:r w:rsidR="3E5B3D1B" w:rsidRPr="00924C0F">
              <w:rPr>
                <w:sz w:val="22"/>
                <w:szCs w:val="22"/>
              </w:rPr>
              <w:t xml:space="preserve">, </w:t>
            </w:r>
            <w:r w:rsidRPr="00924C0F">
              <w:rPr>
                <w:sz w:val="22"/>
                <w:szCs w:val="22"/>
              </w:rPr>
              <w:t>sanalistat</w:t>
            </w:r>
            <w:r w:rsidR="389AF789" w:rsidRPr="00924C0F">
              <w:rPr>
                <w:sz w:val="22"/>
                <w:szCs w:val="22"/>
              </w:rPr>
              <w:t xml:space="preserve"> tai videot </w:t>
            </w:r>
            <w:r w:rsidRPr="00924C0F">
              <w:rPr>
                <w:sz w:val="22"/>
                <w:szCs w:val="22"/>
              </w:rPr>
              <w:t>erilaisista yhteisöistä ja vähemmistöryhmistä (alkuperään, äidinkieleen, uskontoon</w:t>
            </w:r>
            <w:r w:rsidR="3F2A179C" w:rsidRPr="00924C0F">
              <w:rPr>
                <w:sz w:val="22"/>
                <w:szCs w:val="22"/>
              </w:rPr>
              <w:t>, terveyteen ja erityistarpeisiin</w:t>
            </w:r>
            <w:r w:rsidRPr="00924C0F">
              <w:rPr>
                <w:sz w:val="22"/>
                <w:szCs w:val="22"/>
              </w:rPr>
              <w:t>, asuinpaikkaan, sukupuoleen ja seksuaali-identiteettiin lii</w:t>
            </w:r>
            <w:r w:rsidR="3B903D69" w:rsidRPr="00924C0F">
              <w:rPr>
                <w:sz w:val="22"/>
                <w:szCs w:val="22"/>
              </w:rPr>
              <w:t>ttyvät yhteisöt).</w:t>
            </w:r>
            <w:r w:rsidR="2546251A" w:rsidRPr="00924C0F">
              <w:rPr>
                <w:sz w:val="22"/>
                <w:szCs w:val="22"/>
              </w:rPr>
              <w:t xml:space="preserve"> </w:t>
            </w:r>
            <w:r w:rsidR="30D54841" w:rsidRPr="00924C0F">
              <w:rPr>
                <w:sz w:val="22"/>
                <w:szCs w:val="22"/>
              </w:rPr>
              <w:t xml:space="preserve">Oppilas kertoo kirjallisesti tai suullisesti, mitkä näistä ovat suomalaisessa yhteiskunnassa olevia yhteisöjä. </w:t>
            </w:r>
          </w:p>
        </w:tc>
      </w:tr>
      <w:tr w:rsidR="0078235C" w:rsidRPr="00924C0F" w14:paraId="4B8B057A" w14:textId="7F68D4E0" w:rsidTr="326C512C">
        <w:trPr>
          <w:trHeight w:val="284"/>
        </w:trPr>
        <w:tc>
          <w:tcPr>
            <w:tcW w:w="2819" w:type="dxa"/>
            <w:shd w:val="clear" w:color="auto" w:fill="auto"/>
            <w:tcMar>
              <w:top w:w="0" w:type="dxa"/>
              <w:left w:w="108" w:type="dxa"/>
              <w:bottom w:w="0" w:type="dxa"/>
              <w:right w:w="108" w:type="dxa"/>
            </w:tcMar>
          </w:tcPr>
          <w:p w14:paraId="32E7F4B6" w14:textId="77777777" w:rsidR="00A5499D" w:rsidRPr="00924C0F" w:rsidRDefault="00A5499D" w:rsidP="00924C0F">
            <w:pPr>
              <w:spacing w:after="0" w:line="276" w:lineRule="auto"/>
              <w:contextualSpacing/>
              <w:rPr>
                <w:rFonts w:cstheme="minorHAnsi"/>
                <w:sz w:val="22"/>
                <w:szCs w:val="22"/>
              </w:rPr>
            </w:pPr>
            <w:r w:rsidRPr="00924C0F">
              <w:rPr>
                <w:rFonts w:eastAsia="Calibri" w:cstheme="minorHAnsi"/>
                <w:sz w:val="22"/>
                <w:szCs w:val="22"/>
              </w:rPr>
              <w:t>T7</w:t>
            </w:r>
            <w:r w:rsidRPr="00924C0F">
              <w:rPr>
                <w:rFonts w:eastAsia="Calibri" w:cstheme="minorHAnsi"/>
                <w:b/>
                <w:sz w:val="22"/>
                <w:szCs w:val="22"/>
              </w:rPr>
              <w:t xml:space="preserve"> </w:t>
            </w:r>
            <w:r w:rsidRPr="00924C0F">
              <w:rPr>
                <w:rFonts w:cstheme="minorHAnsi"/>
                <w:sz w:val="22"/>
                <w:szCs w:val="22"/>
              </w:rPr>
              <w:t xml:space="preserve">ohjata oppilasta ymmärtämään yhteiskunnallisen </w:t>
            </w:r>
            <w:r w:rsidRPr="00924C0F">
              <w:rPr>
                <w:rFonts w:cstheme="minorHAnsi"/>
                <w:sz w:val="22"/>
                <w:szCs w:val="22"/>
              </w:rPr>
              <w:lastRenderedPageBreak/>
              <w:t>päätöksenteon periaatteita ja demokraattisia toimintatapoja paikallisella, kansallisella ja Euroopan unionin tasolla sekä globaalisti ja toimimaan aktiivisena, omaa lähiyhteisöä kehittävänä kansalaisena</w:t>
            </w:r>
          </w:p>
        </w:tc>
        <w:tc>
          <w:tcPr>
            <w:tcW w:w="1131" w:type="dxa"/>
            <w:gridSpan w:val="2"/>
            <w:shd w:val="clear" w:color="auto" w:fill="auto"/>
            <w:tcMar>
              <w:top w:w="0" w:type="dxa"/>
              <w:left w:w="108" w:type="dxa"/>
              <w:bottom w:w="0" w:type="dxa"/>
              <w:right w:w="108" w:type="dxa"/>
            </w:tcMar>
          </w:tcPr>
          <w:p w14:paraId="07A3BE1E"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lastRenderedPageBreak/>
              <w:t xml:space="preserve">S1–S3 </w:t>
            </w:r>
          </w:p>
        </w:tc>
        <w:tc>
          <w:tcPr>
            <w:tcW w:w="2622" w:type="dxa"/>
            <w:shd w:val="clear" w:color="auto" w:fill="auto"/>
            <w:tcMar>
              <w:top w:w="0" w:type="dxa"/>
              <w:left w:w="108" w:type="dxa"/>
              <w:bottom w:w="0" w:type="dxa"/>
              <w:right w:w="108" w:type="dxa"/>
            </w:tcMar>
          </w:tcPr>
          <w:p w14:paraId="2FC129C4"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 xml:space="preserve">Oppilas oppii ymmärtämään yhteiskunnallisen </w:t>
            </w:r>
            <w:r w:rsidRPr="00924C0F">
              <w:rPr>
                <w:rFonts w:cstheme="minorHAnsi"/>
                <w:sz w:val="22"/>
                <w:szCs w:val="22"/>
              </w:rPr>
              <w:lastRenderedPageBreak/>
              <w:t>päätöksenteon demokraattisia toimintatapoja ja soveltamaan niitä lähiyhteisössään.</w:t>
            </w:r>
          </w:p>
        </w:tc>
        <w:tc>
          <w:tcPr>
            <w:tcW w:w="1949" w:type="dxa"/>
            <w:gridSpan w:val="2"/>
            <w:shd w:val="clear" w:color="auto" w:fill="auto"/>
            <w:tcMar>
              <w:top w:w="0" w:type="dxa"/>
              <w:left w:w="108" w:type="dxa"/>
              <w:bottom w:w="0" w:type="dxa"/>
              <w:right w:w="108" w:type="dxa"/>
            </w:tcMar>
          </w:tcPr>
          <w:p w14:paraId="206C05C5"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lastRenderedPageBreak/>
              <w:t xml:space="preserve">Yhteiskunnallisen päätöksenteon </w:t>
            </w:r>
            <w:r w:rsidRPr="00924C0F">
              <w:rPr>
                <w:rFonts w:cstheme="minorHAnsi"/>
                <w:sz w:val="22"/>
                <w:szCs w:val="22"/>
              </w:rPr>
              <w:lastRenderedPageBreak/>
              <w:t>periaatteiden ja demokraattisten toimintatapojen tunteminen ja soveltaminen</w:t>
            </w:r>
          </w:p>
          <w:p w14:paraId="6B260791" w14:textId="77777777" w:rsidR="00A5499D" w:rsidRPr="00924C0F" w:rsidRDefault="00A5499D" w:rsidP="00924C0F">
            <w:pPr>
              <w:spacing w:after="0" w:line="276" w:lineRule="auto"/>
              <w:contextualSpacing/>
              <w:rPr>
                <w:rFonts w:cstheme="minorHAnsi"/>
                <w:iCs/>
                <w:sz w:val="22"/>
                <w:szCs w:val="22"/>
              </w:rPr>
            </w:pPr>
          </w:p>
        </w:tc>
        <w:tc>
          <w:tcPr>
            <w:tcW w:w="2531" w:type="dxa"/>
            <w:shd w:val="clear" w:color="auto" w:fill="auto"/>
            <w:tcMar>
              <w:top w:w="0" w:type="dxa"/>
              <w:left w:w="108" w:type="dxa"/>
              <w:bottom w:w="0" w:type="dxa"/>
              <w:right w:w="108" w:type="dxa"/>
            </w:tcMar>
          </w:tcPr>
          <w:p w14:paraId="2CFD3DF0"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lastRenderedPageBreak/>
              <w:t xml:space="preserve">Oppilas osoittaa tunnistavansa ohjatusti </w:t>
            </w:r>
            <w:r w:rsidRPr="00924C0F">
              <w:rPr>
                <w:rFonts w:cstheme="minorHAnsi"/>
                <w:iCs/>
                <w:sz w:val="22"/>
                <w:szCs w:val="22"/>
              </w:rPr>
              <w:lastRenderedPageBreak/>
              <w:t xml:space="preserve">demokraattisen päätöksenteon tunnuspiirteitä. </w:t>
            </w:r>
          </w:p>
          <w:p w14:paraId="0A3DE832" w14:textId="77777777" w:rsidR="00A5499D" w:rsidRPr="00924C0F" w:rsidRDefault="00A5499D" w:rsidP="00924C0F">
            <w:pPr>
              <w:spacing w:after="0" w:line="276" w:lineRule="auto"/>
              <w:contextualSpacing/>
              <w:rPr>
                <w:rFonts w:cstheme="minorHAnsi"/>
                <w:iCs/>
                <w:sz w:val="22"/>
                <w:szCs w:val="22"/>
              </w:rPr>
            </w:pPr>
          </w:p>
          <w:p w14:paraId="04018F00"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 xml:space="preserve">Oppilas osoittaa esimerkeistä, miten demokraattinen päätöksenteko ilmenee hänen lähiyhteisössään. </w:t>
            </w:r>
          </w:p>
          <w:p w14:paraId="4AD79564" w14:textId="77777777" w:rsidR="00A5499D" w:rsidRPr="00924C0F" w:rsidRDefault="00A5499D" w:rsidP="00924C0F">
            <w:pPr>
              <w:spacing w:after="0" w:line="276" w:lineRule="auto"/>
              <w:contextualSpacing/>
              <w:rPr>
                <w:rFonts w:cstheme="minorHAnsi"/>
                <w:iCs/>
                <w:sz w:val="22"/>
                <w:szCs w:val="22"/>
              </w:rPr>
            </w:pPr>
          </w:p>
        </w:tc>
        <w:tc>
          <w:tcPr>
            <w:tcW w:w="4111" w:type="dxa"/>
            <w:gridSpan w:val="2"/>
          </w:tcPr>
          <w:p w14:paraId="3B1D8113" w14:textId="717AE6C5" w:rsidR="00A5499D" w:rsidRPr="00924C0F" w:rsidRDefault="5BCE62C3" w:rsidP="00924C0F">
            <w:pPr>
              <w:spacing w:after="0" w:line="276" w:lineRule="auto"/>
              <w:contextualSpacing/>
              <w:rPr>
                <w:sz w:val="22"/>
                <w:szCs w:val="22"/>
              </w:rPr>
            </w:pPr>
            <w:r w:rsidRPr="00924C0F">
              <w:rPr>
                <w:sz w:val="22"/>
                <w:szCs w:val="22"/>
              </w:rPr>
              <w:lastRenderedPageBreak/>
              <w:t xml:space="preserve">Taustatietona demokraattisen päätöksenteon tunnuspiirteet. </w:t>
            </w:r>
            <w:r w:rsidR="6F2D9112" w:rsidRPr="00924C0F">
              <w:rPr>
                <w:sz w:val="22"/>
                <w:szCs w:val="22"/>
              </w:rPr>
              <w:t xml:space="preserve">Mahdollisuus </w:t>
            </w:r>
            <w:r w:rsidR="6F2D9112" w:rsidRPr="00924C0F">
              <w:rPr>
                <w:sz w:val="22"/>
                <w:szCs w:val="22"/>
              </w:rPr>
              <w:lastRenderedPageBreak/>
              <w:t xml:space="preserve">toiminnalliseen tehtävään esim. luokan omat vaalit. </w:t>
            </w:r>
          </w:p>
          <w:p w14:paraId="4A0858ED" w14:textId="1B6CF3BC" w:rsidR="00A5499D" w:rsidRPr="00924C0F" w:rsidRDefault="00A5499D" w:rsidP="00924C0F">
            <w:pPr>
              <w:spacing w:after="0" w:line="276" w:lineRule="auto"/>
              <w:contextualSpacing/>
              <w:rPr>
                <w:sz w:val="22"/>
                <w:szCs w:val="22"/>
              </w:rPr>
            </w:pPr>
          </w:p>
          <w:p w14:paraId="73BB8AA3" w14:textId="2EB221C0" w:rsidR="00A5499D" w:rsidRPr="00924C0F" w:rsidRDefault="28F57674" w:rsidP="00924C0F">
            <w:pPr>
              <w:spacing w:after="0" w:line="276" w:lineRule="auto"/>
              <w:contextualSpacing/>
              <w:rPr>
                <w:sz w:val="22"/>
                <w:szCs w:val="22"/>
              </w:rPr>
            </w:pPr>
            <w:r w:rsidRPr="00924C0F">
              <w:rPr>
                <w:sz w:val="22"/>
                <w:szCs w:val="22"/>
              </w:rPr>
              <w:t xml:space="preserve">Nuoren omaan lähipiirin </w:t>
            </w:r>
            <w:r w:rsidR="64E42608" w:rsidRPr="00924C0F">
              <w:rPr>
                <w:sz w:val="22"/>
                <w:szCs w:val="22"/>
              </w:rPr>
              <w:t xml:space="preserve">vaikutusmahdollisuudet, kuten oppilaskunta, perheen yhteiset säännöt, koulun järjestyssäännöt ja toimintatavat, kaveriporukan sanattomat säännöt ja toiminnan suunnittelu. </w:t>
            </w:r>
          </w:p>
        </w:tc>
      </w:tr>
      <w:tr w:rsidR="0078235C" w:rsidRPr="00924C0F" w14:paraId="66D3FB58" w14:textId="7CC27364" w:rsidTr="326C512C">
        <w:trPr>
          <w:trHeight w:val="284"/>
        </w:trPr>
        <w:tc>
          <w:tcPr>
            <w:tcW w:w="2819" w:type="dxa"/>
            <w:shd w:val="clear" w:color="auto" w:fill="auto"/>
            <w:tcMar>
              <w:top w:w="0" w:type="dxa"/>
              <w:left w:w="108" w:type="dxa"/>
              <w:bottom w:w="0" w:type="dxa"/>
              <w:right w:w="108" w:type="dxa"/>
            </w:tcMar>
          </w:tcPr>
          <w:p w14:paraId="2F5E0598" w14:textId="77777777" w:rsidR="00A5499D" w:rsidRPr="00924C0F" w:rsidRDefault="00A5499D" w:rsidP="00924C0F">
            <w:pPr>
              <w:spacing w:after="0" w:line="276" w:lineRule="auto"/>
              <w:contextualSpacing/>
              <w:rPr>
                <w:rFonts w:eastAsia="Calibri" w:cstheme="minorHAnsi"/>
                <w:sz w:val="22"/>
                <w:szCs w:val="22"/>
              </w:rPr>
            </w:pPr>
            <w:r w:rsidRPr="00924C0F">
              <w:rPr>
                <w:rFonts w:eastAsia="Calibri" w:cstheme="minorHAnsi"/>
                <w:sz w:val="22"/>
                <w:szCs w:val="22"/>
              </w:rPr>
              <w:lastRenderedPageBreak/>
              <w:t>T8</w:t>
            </w:r>
            <w:r w:rsidRPr="00924C0F">
              <w:rPr>
                <w:rFonts w:eastAsia="Calibri" w:cstheme="minorHAnsi"/>
                <w:b/>
                <w:sz w:val="22"/>
                <w:szCs w:val="22"/>
              </w:rPr>
              <w:t xml:space="preserve"> </w:t>
            </w:r>
            <w:r w:rsidRPr="00924C0F">
              <w:rPr>
                <w:rFonts w:eastAsia="Calibri" w:cstheme="minorHAnsi"/>
                <w:sz w:val="22"/>
                <w:szCs w:val="22"/>
              </w:rPr>
              <w:t xml:space="preserve">ohjata oppilasta talouden perusteiden ymmärtämiseen, oman talouden hallintaan ja vastuulliseen kuluttamiseen kestävän kehityksen periaatteiden mukaisesti </w:t>
            </w:r>
          </w:p>
        </w:tc>
        <w:tc>
          <w:tcPr>
            <w:tcW w:w="1131" w:type="dxa"/>
            <w:gridSpan w:val="2"/>
            <w:shd w:val="clear" w:color="auto" w:fill="auto"/>
            <w:tcMar>
              <w:top w:w="0" w:type="dxa"/>
              <w:left w:w="108" w:type="dxa"/>
              <w:bottom w:w="0" w:type="dxa"/>
              <w:right w:w="108" w:type="dxa"/>
            </w:tcMar>
          </w:tcPr>
          <w:p w14:paraId="45095DC1"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S1, S4</w:t>
            </w:r>
          </w:p>
          <w:p w14:paraId="135E7E2C" w14:textId="77777777" w:rsidR="00A5499D" w:rsidRPr="00924C0F" w:rsidRDefault="00A5499D" w:rsidP="00924C0F">
            <w:pPr>
              <w:spacing w:after="0" w:line="276" w:lineRule="auto"/>
              <w:contextualSpacing/>
              <w:rPr>
                <w:rFonts w:cstheme="minorHAnsi"/>
                <w:sz w:val="22"/>
                <w:szCs w:val="22"/>
              </w:rPr>
            </w:pPr>
          </w:p>
        </w:tc>
        <w:tc>
          <w:tcPr>
            <w:tcW w:w="2622" w:type="dxa"/>
            <w:shd w:val="clear" w:color="auto" w:fill="auto"/>
            <w:tcMar>
              <w:top w:w="0" w:type="dxa"/>
              <w:left w:w="108" w:type="dxa"/>
              <w:bottom w:w="0" w:type="dxa"/>
              <w:right w:w="108" w:type="dxa"/>
            </w:tcMar>
          </w:tcPr>
          <w:p w14:paraId="2B1B1548"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Oppilas oppii ymmärtämään ja soveltamaan kestävän talouden periaatteita yksilön ja kansantalouden näkökulmasta.</w:t>
            </w:r>
          </w:p>
        </w:tc>
        <w:tc>
          <w:tcPr>
            <w:tcW w:w="1949" w:type="dxa"/>
            <w:gridSpan w:val="2"/>
            <w:shd w:val="clear" w:color="auto" w:fill="auto"/>
            <w:tcMar>
              <w:top w:w="0" w:type="dxa"/>
              <w:left w:w="108" w:type="dxa"/>
              <w:bottom w:w="0" w:type="dxa"/>
              <w:right w:w="108" w:type="dxa"/>
            </w:tcMar>
          </w:tcPr>
          <w:p w14:paraId="490C46F1" w14:textId="77777777" w:rsidR="00A5499D" w:rsidRPr="00924C0F" w:rsidRDefault="00A5499D" w:rsidP="00924C0F">
            <w:pPr>
              <w:spacing w:after="0" w:line="276" w:lineRule="auto"/>
              <w:contextualSpacing/>
              <w:rPr>
                <w:rFonts w:cstheme="minorHAnsi"/>
                <w:iCs/>
                <w:sz w:val="22"/>
                <w:szCs w:val="22"/>
              </w:rPr>
            </w:pPr>
            <w:r w:rsidRPr="00924C0F">
              <w:rPr>
                <w:rFonts w:cstheme="minorHAnsi"/>
                <w:sz w:val="22"/>
                <w:szCs w:val="22"/>
              </w:rPr>
              <w:t xml:space="preserve">Vastuullisen taloudellisen toiminnan ymmärtäminen ja soveltaminen </w:t>
            </w:r>
          </w:p>
        </w:tc>
        <w:tc>
          <w:tcPr>
            <w:tcW w:w="2531" w:type="dxa"/>
            <w:shd w:val="clear" w:color="auto" w:fill="auto"/>
            <w:tcMar>
              <w:top w:w="0" w:type="dxa"/>
              <w:left w:w="108" w:type="dxa"/>
              <w:bottom w:w="0" w:type="dxa"/>
              <w:right w:w="108" w:type="dxa"/>
            </w:tcMar>
          </w:tcPr>
          <w:p w14:paraId="770A78F1"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 xml:space="preserve">Oppilas osoittaa ohjatusti tuntevansa joitakin taloudellisen toiminnan muotoja (kuten kuluttaminen, säästäminen). </w:t>
            </w:r>
          </w:p>
          <w:p w14:paraId="67CEBD3E" w14:textId="77777777" w:rsidR="00A5499D" w:rsidRPr="00924C0F" w:rsidRDefault="00A5499D" w:rsidP="00924C0F">
            <w:pPr>
              <w:spacing w:after="0" w:line="276" w:lineRule="auto"/>
              <w:contextualSpacing/>
              <w:rPr>
                <w:rFonts w:cstheme="minorHAnsi"/>
                <w:iCs/>
                <w:sz w:val="22"/>
                <w:szCs w:val="22"/>
              </w:rPr>
            </w:pPr>
          </w:p>
          <w:p w14:paraId="013EF1EE"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Oppilas osoittaa tunnistavansa ohjatusti yksilön keinoja vaikuttaa kestävään tulevaisuuteen.</w:t>
            </w:r>
          </w:p>
        </w:tc>
        <w:tc>
          <w:tcPr>
            <w:tcW w:w="4111" w:type="dxa"/>
            <w:gridSpan w:val="2"/>
          </w:tcPr>
          <w:p w14:paraId="7F2050E7" w14:textId="329D227E" w:rsidR="00A5499D" w:rsidRPr="00924C0F" w:rsidRDefault="5E036610" w:rsidP="00924C0F">
            <w:pPr>
              <w:spacing w:after="0" w:line="276" w:lineRule="auto"/>
              <w:contextualSpacing/>
              <w:rPr>
                <w:sz w:val="22"/>
                <w:szCs w:val="22"/>
              </w:rPr>
            </w:pPr>
            <w:r w:rsidRPr="00924C0F">
              <w:rPr>
                <w:sz w:val="22"/>
                <w:szCs w:val="22"/>
              </w:rPr>
              <w:t>Oman tai kuvitteellisen talouden budjetointitehtävät. Tai h</w:t>
            </w:r>
            <w:r w:rsidR="51363948" w:rsidRPr="00924C0F">
              <w:rPr>
                <w:sz w:val="22"/>
                <w:szCs w:val="22"/>
              </w:rPr>
              <w:t>yödynnä esim. TAT taloussankari</w:t>
            </w:r>
            <w:r w:rsidR="3088ABE1" w:rsidRPr="00924C0F">
              <w:rPr>
                <w:sz w:val="22"/>
                <w:szCs w:val="22"/>
              </w:rPr>
              <w:t xml:space="preserve"> -peliä.</w:t>
            </w:r>
            <w:r w:rsidR="196DE383" w:rsidRPr="00924C0F">
              <w:rPr>
                <w:sz w:val="22"/>
                <w:szCs w:val="22"/>
              </w:rPr>
              <w:t xml:space="preserve"> Mahdollisuus suorittaa toiminnallisesti esim. asiointiharjoituksilla. </w:t>
            </w:r>
          </w:p>
          <w:p w14:paraId="668A199C" w14:textId="79C1B26F" w:rsidR="00A5499D" w:rsidRPr="00924C0F" w:rsidRDefault="00A5499D" w:rsidP="00924C0F">
            <w:pPr>
              <w:spacing w:after="0" w:line="276" w:lineRule="auto"/>
              <w:contextualSpacing/>
              <w:rPr>
                <w:sz w:val="22"/>
                <w:szCs w:val="22"/>
              </w:rPr>
            </w:pPr>
          </w:p>
          <w:p w14:paraId="62D92BC7" w14:textId="69C4E58F" w:rsidR="00A5499D" w:rsidRPr="00924C0F" w:rsidRDefault="0DB15ACA" w:rsidP="00924C0F">
            <w:pPr>
              <w:spacing w:after="0" w:line="276" w:lineRule="auto"/>
              <w:contextualSpacing/>
              <w:rPr>
                <w:sz w:val="22"/>
                <w:szCs w:val="22"/>
              </w:rPr>
            </w:pPr>
            <w:r w:rsidRPr="00924C0F">
              <w:rPr>
                <w:sz w:val="22"/>
                <w:szCs w:val="22"/>
              </w:rPr>
              <w:t xml:space="preserve">Oman toimintaympäristön huomioiminen kestävyysnäkökulmasta (omista tavaroista ja esim. koulurakennuksesta huolehtiminen) </w:t>
            </w:r>
          </w:p>
          <w:p w14:paraId="420FA509" w14:textId="28162900" w:rsidR="00A5499D" w:rsidRPr="00924C0F" w:rsidRDefault="00A5499D" w:rsidP="00924C0F">
            <w:pPr>
              <w:spacing w:after="0" w:line="276" w:lineRule="auto"/>
              <w:contextualSpacing/>
              <w:rPr>
                <w:sz w:val="22"/>
                <w:szCs w:val="22"/>
              </w:rPr>
            </w:pPr>
          </w:p>
          <w:p w14:paraId="4AD1BDFC" w14:textId="5D2C2DA6" w:rsidR="00A5499D" w:rsidRPr="00924C0F" w:rsidRDefault="7BEEA39A" w:rsidP="00924C0F">
            <w:pPr>
              <w:spacing w:after="0" w:line="276" w:lineRule="auto"/>
              <w:contextualSpacing/>
              <w:rPr>
                <w:sz w:val="22"/>
                <w:szCs w:val="22"/>
              </w:rPr>
            </w:pPr>
            <w:r w:rsidRPr="00924C0F">
              <w:rPr>
                <w:sz w:val="22"/>
                <w:szCs w:val="22"/>
              </w:rPr>
              <w:t xml:space="preserve">Integraatiomahdollisuus KO, KS, KU kanssa (kierrätys, lajittelu, hävikin ehkäisy). </w:t>
            </w:r>
          </w:p>
        </w:tc>
      </w:tr>
      <w:tr w:rsidR="0078235C" w:rsidRPr="00924C0F" w14:paraId="24BC5B11" w14:textId="6B7253B9" w:rsidTr="326C512C">
        <w:trPr>
          <w:trHeight w:val="969"/>
        </w:trPr>
        <w:tc>
          <w:tcPr>
            <w:tcW w:w="2819" w:type="dxa"/>
            <w:shd w:val="clear" w:color="auto" w:fill="auto"/>
            <w:tcMar>
              <w:top w:w="0" w:type="dxa"/>
              <w:left w:w="108" w:type="dxa"/>
              <w:bottom w:w="0" w:type="dxa"/>
              <w:right w:w="108" w:type="dxa"/>
            </w:tcMar>
          </w:tcPr>
          <w:p w14:paraId="6D5E4E89" w14:textId="77777777" w:rsidR="00A5499D" w:rsidRPr="00924C0F" w:rsidRDefault="00A5499D" w:rsidP="00924C0F">
            <w:pPr>
              <w:spacing w:after="0" w:line="276" w:lineRule="auto"/>
              <w:contextualSpacing/>
              <w:rPr>
                <w:rFonts w:cstheme="minorHAnsi"/>
                <w:sz w:val="22"/>
                <w:szCs w:val="22"/>
              </w:rPr>
            </w:pPr>
            <w:r w:rsidRPr="00924C0F">
              <w:rPr>
                <w:rFonts w:eastAsia="Calibri" w:cstheme="minorHAnsi"/>
                <w:sz w:val="22"/>
                <w:szCs w:val="22"/>
              </w:rPr>
              <w:t xml:space="preserve">T9 </w:t>
            </w:r>
            <w:r w:rsidRPr="00924C0F">
              <w:rPr>
                <w:rFonts w:cstheme="minorHAnsi"/>
                <w:sz w:val="22"/>
                <w:szCs w:val="22"/>
              </w:rPr>
              <w:t>ohjata oppilasta laajentamaan näkemyksiään, osallistumaan yhteiskunnalliseen toimintaan ja keskusteluun sekä käyttämään mediataitojaan ja tietojaan yhteiskunnasta omien käsitystensä muodostamisessa ja kansalaisena toimimisessa</w:t>
            </w:r>
          </w:p>
        </w:tc>
        <w:tc>
          <w:tcPr>
            <w:tcW w:w="1131" w:type="dxa"/>
            <w:gridSpan w:val="2"/>
            <w:shd w:val="clear" w:color="auto" w:fill="auto"/>
            <w:tcMar>
              <w:top w:w="0" w:type="dxa"/>
              <w:left w:w="108" w:type="dxa"/>
              <w:bottom w:w="0" w:type="dxa"/>
              <w:right w:w="108" w:type="dxa"/>
            </w:tcMar>
          </w:tcPr>
          <w:p w14:paraId="55F7D4D4"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S1–S4</w:t>
            </w:r>
          </w:p>
        </w:tc>
        <w:tc>
          <w:tcPr>
            <w:tcW w:w="2622" w:type="dxa"/>
            <w:shd w:val="clear" w:color="auto" w:fill="auto"/>
            <w:tcMar>
              <w:top w:w="0" w:type="dxa"/>
              <w:left w:w="108" w:type="dxa"/>
              <w:bottom w:w="0" w:type="dxa"/>
              <w:right w:w="108" w:type="dxa"/>
            </w:tcMar>
          </w:tcPr>
          <w:p w14:paraId="1FACBAFC"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Oppilas oppii omaksumaan ja hyödyntämään yhteiskunnallisessa toiminnassa oleellisia tietoja ja taitoja.</w:t>
            </w:r>
          </w:p>
          <w:p w14:paraId="408E1396" w14:textId="77777777" w:rsidR="00A5499D" w:rsidRPr="00924C0F" w:rsidRDefault="00A5499D" w:rsidP="00924C0F">
            <w:pPr>
              <w:spacing w:after="0" w:line="276" w:lineRule="auto"/>
              <w:contextualSpacing/>
              <w:rPr>
                <w:rFonts w:cstheme="minorHAnsi"/>
                <w:sz w:val="22"/>
                <w:szCs w:val="22"/>
              </w:rPr>
            </w:pPr>
          </w:p>
        </w:tc>
        <w:tc>
          <w:tcPr>
            <w:tcW w:w="1949" w:type="dxa"/>
            <w:gridSpan w:val="2"/>
            <w:shd w:val="clear" w:color="auto" w:fill="auto"/>
            <w:tcMar>
              <w:top w:w="0" w:type="dxa"/>
              <w:left w:w="108" w:type="dxa"/>
              <w:bottom w:w="0" w:type="dxa"/>
              <w:right w:w="108" w:type="dxa"/>
            </w:tcMar>
          </w:tcPr>
          <w:p w14:paraId="25924A9E" w14:textId="77777777" w:rsidR="00A5499D" w:rsidRPr="00924C0F" w:rsidRDefault="00A5499D" w:rsidP="00924C0F">
            <w:pPr>
              <w:spacing w:after="0" w:line="276" w:lineRule="auto"/>
              <w:contextualSpacing/>
              <w:rPr>
                <w:rFonts w:cstheme="minorHAnsi"/>
                <w:sz w:val="22"/>
                <w:szCs w:val="22"/>
              </w:rPr>
            </w:pPr>
            <w:r w:rsidRPr="00924C0F">
              <w:rPr>
                <w:rFonts w:cstheme="minorHAnsi"/>
                <w:sz w:val="22"/>
                <w:szCs w:val="22"/>
              </w:rPr>
              <w:t>Yhteiskunnallinen ajattelu, osallistumis-, media- ja</w:t>
            </w:r>
            <w:r w:rsidRPr="00924C0F">
              <w:rPr>
                <w:rFonts w:cstheme="minorHAnsi"/>
                <w:sz w:val="22"/>
                <w:szCs w:val="22"/>
              </w:rPr>
              <w:br/>
              <w:t xml:space="preserve">vaikuttamistaitojen soveltaminen </w:t>
            </w:r>
          </w:p>
          <w:p w14:paraId="7845632A" w14:textId="77777777" w:rsidR="00A5499D" w:rsidRPr="00924C0F" w:rsidRDefault="00A5499D" w:rsidP="00924C0F">
            <w:pPr>
              <w:spacing w:after="0" w:line="276" w:lineRule="auto"/>
              <w:contextualSpacing/>
              <w:rPr>
                <w:rFonts w:cstheme="minorHAnsi"/>
                <w:iCs/>
                <w:sz w:val="22"/>
                <w:szCs w:val="22"/>
              </w:rPr>
            </w:pPr>
          </w:p>
          <w:p w14:paraId="18FA454F" w14:textId="77777777" w:rsidR="00A5499D" w:rsidRPr="00924C0F" w:rsidRDefault="00A5499D" w:rsidP="00924C0F">
            <w:pPr>
              <w:spacing w:after="0" w:line="276" w:lineRule="auto"/>
              <w:contextualSpacing/>
              <w:rPr>
                <w:rFonts w:cstheme="minorHAnsi"/>
                <w:iCs/>
                <w:sz w:val="22"/>
                <w:szCs w:val="22"/>
              </w:rPr>
            </w:pPr>
          </w:p>
          <w:p w14:paraId="5441B5B3" w14:textId="77777777" w:rsidR="00A5499D" w:rsidRPr="00924C0F" w:rsidRDefault="00A5499D" w:rsidP="00924C0F">
            <w:pPr>
              <w:spacing w:after="0" w:line="276" w:lineRule="auto"/>
              <w:contextualSpacing/>
              <w:rPr>
                <w:rFonts w:cstheme="minorHAnsi"/>
                <w:iCs/>
                <w:sz w:val="22"/>
                <w:szCs w:val="22"/>
              </w:rPr>
            </w:pPr>
          </w:p>
          <w:p w14:paraId="77E4713C" w14:textId="77777777" w:rsidR="00A5499D" w:rsidRPr="00924C0F" w:rsidRDefault="00A5499D" w:rsidP="00924C0F">
            <w:pPr>
              <w:spacing w:after="0" w:line="276" w:lineRule="auto"/>
              <w:contextualSpacing/>
              <w:rPr>
                <w:rFonts w:cstheme="minorHAnsi"/>
                <w:iCs/>
                <w:sz w:val="22"/>
                <w:szCs w:val="22"/>
              </w:rPr>
            </w:pPr>
          </w:p>
        </w:tc>
        <w:tc>
          <w:tcPr>
            <w:tcW w:w="2531" w:type="dxa"/>
            <w:shd w:val="clear" w:color="auto" w:fill="auto"/>
            <w:tcMar>
              <w:top w:w="0" w:type="dxa"/>
              <w:left w:w="108" w:type="dxa"/>
              <w:bottom w:w="0" w:type="dxa"/>
              <w:right w:w="108" w:type="dxa"/>
            </w:tcMar>
          </w:tcPr>
          <w:p w14:paraId="11D90981" w14:textId="77777777"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 xml:space="preserve">Oppilas antaa ohjatusti esimerkkejä keinoista osallistua ja vaikuttaa yhteiskunnassa. </w:t>
            </w:r>
          </w:p>
          <w:p w14:paraId="4E4E5355" w14:textId="77777777" w:rsidR="00A5499D" w:rsidRPr="00924C0F" w:rsidRDefault="00A5499D" w:rsidP="00924C0F">
            <w:pPr>
              <w:spacing w:after="0" w:line="276" w:lineRule="auto"/>
              <w:contextualSpacing/>
              <w:rPr>
                <w:rFonts w:cstheme="minorHAnsi"/>
                <w:iCs/>
                <w:sz w:val="22"/>
                <w:szCs w:val="22"/>
              </w:rPr>
            </w:pPr>
          </w:p>
          <w:p w14:paraId="2002C13F" w14:textId="716F174A" w:rsidR="00A5499D" w:rsidRPr="00924C0F" w:rsidRDefault="00A5499D" w:rsidP="00924C0F">
            <w:pPr>
              <w:spacing w:after="0" w:line="276" w:lineRule="auto"/>
              <w:contextualSpacing/>
              <w:rPr>
                <w:rFonts w:cstheme="minorHAnsi"/>
                <w:iCs/>
                <w:sz w:val="22"/>
                <w:szCs w:val="22"/>
              </w:rPr>
            </w:pPr>
            <w:r w:rsidRPr="00924C0F">
              <w:rPr>
                <w:rFonts w:cstheme="minorHAnsi"/>
                <w:iCs/>
                <w:sz w:val="22"/>
                <w:szCs w:val="22"/>
              </w:rPr>
              <w:t>Oppilas ottaa kantaa yhteiskunnalliseen aiheeseen.</w:t>
            </w:r>
          </w:p>
        </w:tc>
        <w:tc>
          <w:tcPr>
            <w:tcW w:w="4111" w:type="dxa"/>
            <w:gridSpan w:val="2"/>
          </w:tcPr>
          <w:p w14:paraId="202DE835" w14:textId="473004A1" w:rsidR="00A5499D" w:rsidRPr="00924C0F" w:rsidRDefault="0A76F30B" w:rsidP="00924C0F">
            <w:pPr>
              <w:spacing w:after="0" w:line="276" w:lineRule="auto"/>
              <w:contextualSpacing/>
              <w:rPr>
                <w:sz w:val="22"/>
                <w:szCs w:val="22"/>
              </w:rPr>
            </w:pPr>
            <w:r w:rsidRPr="00924C0F">
              <w:rPr>
                <w:sz w:val="22"/>
                <w:szCs w:val="22"/>
              </w:rPr>
              <w:t>Ks. T7.</w:t>
            </w:r>
          </w:p>
          <w:p w14:paraId="6F7C94D5" w14:textId="5A9367DF" w:rsidR="00A5499D" w:rsidRPr="00924C0F" w:rsidRDefault="00A5499D" w:rsidP="00924C0F">
            <w:pPr>
              <w:spacing w:after="0" w:line="276" w:lineRule="auto"/>
              <w:contextualSpacing/>
              <w:rPr>
                <w:sz w:val="22"/>
                <w:szCs w:val="22"/>
              </w:rPr>
            </w:pPr>
          </w:p>
          <w:p w14:paraId="1C02BE9F" w14:textId="5D63CC36" w:rsidR="00A5499D" w:rsidRPr="00924C0F" w:rsidRDefault="0A76F30B" w:rsidP="00924C0F">
            <w:pPr>
              <w:spacing w:after="0" w:line="276" w:lineRule="auto"/>
              <w:contextualSpacing/>
              <w:rPr>
                <w:sz w:val="22"/>
                <w:szCs w:val="22"/>
              </w:rPr>
            </w:pPr>
            <w:r w:rsidRPr="00924C0F">
              <w:rPr>
                <w:sz w:val="22"/>
                <w:szCs w:val="22"/>
              </w:rPr>
              <w:t xml:space="preserve">Hyödynnetään ajankohtaisia uutisia. Integrointimahdollisuus AI 9lk T2 kanssa. </w:t>
            </w:r>
          </w:p>
        </w:tc>
      </w:tr>
    </w:tbl>
    <w:p w14:paraId="47B99DBD" w14:textId="77777777" w:rsidR="00FC2431" w:rsidRPr="00924C0F" w:rsidRDefault="00FC2431" w:rsidP="00924C0F">
      <w:pPr>
        <w:spacing w:after="0"/>
        <w:rPr>
          <w:sz w:val="22"/>
          <w:szCs w:val="22"/>
        </w:rPr>
      </w:pPr>
    </w:p>
    <w:sectPr w:rsidR="00FC2431" w:rsidRPr="00924C0F" w:rsidSect="00AE52B6">
      <w:head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26A0" w14:textId="77777777" w:rsidR="00B15292" w:rsidRDefault="00B15292">
      <w:pPr>
        <w:spacing w:after="0" w:line="240" w:lineRule="auto"/>
      </w:pPr>
      <w:r>
        <w:separator/>
      </w:r>
    </w:p>
  </w:endnote>
  <w:endnote w:type="continuationSeparator" w:id="0">
    <w:p w14:paraId="2213DC1F" w14:textId="77777777" w:rsidR="00B15292" w:rsidRDefault="00B15292">
      <w:pPr>
        <w:spacing w:after="0" w:line="240" w:lineRule="auto"/>
      </w:pPr>
      <w:r>
        <w:continuationSeparator/>
      </w:r>
    </w:p>
  </w:endnote>
  <w:endnote w:type="continuationNotice" w:id="1">
    <w:p w14:paraId="13CBC9DA" w14:textId="77777777" w:rsidR="00B15292" w:rsidRDefault="00B15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C7B9" w14:textId="77777777" w:rsidR="00B15292" w:rsidRDefault="00B15292">
      <w:pPr>
        <w:spacing w:after="0" w:line="240" w:lineRule="auto"/>
      </w:pPr>
      <w:r>
        <w:separator/>
      </w:r>
    </w:p>
  </w:footnote>
  <w:footnote w:type="continuationSeparator" w:id="0">
    <w:p w14:paraId="4E33D127" w14:textId="77777777" w:rsidR="00B15292" w:rsidRDefault="00B15292">
      <w:pPr>
        <w:spacing w:after="0" w:line="240" w:lineRule="auto"/>
      </w:pPr>
      <w:r>
        <w:continuationSeparator/>
      </w:r>
    </w:p>
  </w:footnote>
  <w:footnote w:type="continuationNotice" w:id="1">
    <w:p w14:paraId="4D5CCB9D" w14:textId="77777777" w:rsidR="00B15292" w:rsidRDefault="00B152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2BF" w14:textId="496487B3" w:rsidR="242C9A89" w:rsidRDefault="242C9A89" w:rsidP="242C9A89">
    <w:pPr>
      <w:pStyle w:val="Yltunniste"/>
      <w:rPr>
        <w:sz w:val="24"/>
        <w:szCs w:val="24"/>
      </w:rPr>
    </w:pPr>
    <w:r w:rsidRPr="242C9A89">
      <w:rPr>
        <w:sz w:val="22"/>
        <w:szCs w:val="22"/>
      </w:rPr>
      <w:fldChar w:fldCharType="begin"/>
    </w:r>
    <w:r>
      <w:instrText>PAGE</w:instrText>
    </w:r>
    <w:r w:rsidRPr="242C9A89">
      <w:fldChar w:fldCharType="separate"/>
    </w:r>
    <w:r w:rsidR="00924C0F">
      <w:rPr>
        <w:noProof/>
      </w:rPr>
      <w:t>1</w:t>
    </w:r>
    <w:r w:rsidRPr="242C9A89">
      <w:rPr>
        <w:sz w:val="22"/>
        <w:szCs w:val="22"/>
      </w:rPr>
      <w:fldChar w:fldCharType="end"/>
    </w:r>
    <w:r w:rsidRPr="242C9A89">
      <w:rPr>
        <w:sz w:val="22"/>
        <w:szCs w:val="22"/>
      </w:rPr>
      <w:t xml:space="preserve"> </w:t>
    </w:r>
    <w:r w:rsidR="00E83681">
      <w:rPr>
        <w:sz w:val="22"/>
        <w:szCs w:val="22"/>
      </w:rPr>
      <w:t>–</w:t>
    </w:r>
    <w:r w:rsidRPr="242C9A89">
      <w:rPr>
        <w:sz w:val="22"/>
        <w:szCs w:val="22"/>
      </w:rPr>
      <w:t xml:space="preserve"> Yhteiskuntaoppi 9lk</w:t>
    </w:r>
    <w:r w:rsidR="00E83681">
      <w:rPr>
        <w:sz w:val="22"/>
        <w:szCs w:val="22"/>
      </w:rPr>
      <w:t xml:space="preserve"> – Arvosana viisi</w:t>
    </w:r>
  </w:p>
  <w:p w14:paraId="0796F334" w14:textId="598522EB" w:rsidR="242C9A89" w:rsidRDefault="242C9A89" w:rsidP="242C9A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F04"/>
    <w:multiLevelType w:val="multilevel"/>
    <w:tmpl w:val="6D6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17A41"/>
    <w:multiLevelType w:val="multilevel"/>
    <w:tmpl w:val="9FD4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A63C5"/>
    <w:multiLevelType w:val="multilevel"/>
    <w:tmpl w:val="752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2092C"/>
    <w:multiLevelType w:val="multilevel"/>
    <w:tmpl w:val="3288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50B9E"/>
    <w:multiLevelType w:val="multilevel"/>
    <w:tmpl w:val="A984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321AE"/>
    <w:multiLevelType w:val="multilevel"/>
    <w:tmpl w:val="9A7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E191A"/>
    <w:multiLevelType w:val="multilevel"/>
    <w:tmpl w:val="83F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44518"/>
    <w:multiLevelType w:val="multilevel"/>
    <w:tmpl w:val="DDEE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701864">
    <w:abstractNumId w:val="5"/>
  </w:num>
  <w:num w:numId="2" w16cid:durableId="993334619">
    <w:abstractNumId w:val="3"/>
  </w:num>
  <w:num w:numId="3" w16cid:durableId="167599600">
    <w:abstractNumId w:val="2"/>
  </w:num>
  <w:num w:numId="4" w16cid:durableId="405492558">
    <w:abstractNumId w:val="1"/>
  </w:num>
  <w:num w:numId="5" w16cid:durableId="1441604644">
    <w:abstractNumId w:val="6"/>
  </w:num>
  <w:num w:numId="6" w16cid:durableId="665860758">
    <w:abstractNumId w:val="4"/>
  </w:num>
  <w:num w:numId="7" w16cid:durableId="1228147106">
    <w:abstractNumId w:val="0"/>
  </w:num>
  <w:num w:numId="8" w16cid:durableId="865287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D"/>
    <w:rsid w:val="00013171"/>
    <w:rsid w:val="001B0B97"/>
    <w:rsid w:val="002256F6"/>
    <w:rsid w:val="002D2D81"/>
    <w:rsid w:val="004612E9"/>
    <w:rsid w:val="006460BE"/>
    <w:rsid w:val="006D3C33"/>
    <w:rsid w:val="006F4DCD"/>
    <w:rsid w:val="007736EA"/>
    <w:rsid w:val="0078235C"/>
    <w:rsid w:val="009064E2"/>
    <w:rsid w:val="00924C0F"/>
    <w:rsid w:val="0092658F"/>
    <w:rsid w:val="00A5499D"/>
    <w:rsid w:val="00AE52B6"/>
    <w:rsid w:val="00B15292"/>
    <w:rsid w:val="00C42A34"/>
    <w:rsid w:val="00C704EB"/>
    <w:rsid w:val="00C95FC9"/>
    <w:rsid w:val="00D03393"/>
    <w:rsid w:val="00D33D1A"/>
    <w:rsid w:val="00D90871"/>
    <w:rsid w:val="00DA68BF"/>
    <w:rsid w:val="00DC62F6"/>
    <w:rsid w:val="00DD7690"/>
    <w:rsid w:val="00E6514F"/>
    <w:rsid w:val="00E83681"/>
    <w:rsid w:val="00EA1DFE"/>
    <w:rsid w:val="00EF0B71"/>
    <w:rsid w:val="00F2384E"/>
    <w:rsid w:val="00F5138B"/>
    <w:rsid w:val="00F575F6"/>
    <w:rsid w:val="00FC2431"/>
    <w:rsid w:val="01DD221D"/>
    <w:rsid w:val="0430D7C5"/>
    <w:rsid w:val="0591292D"/>
    <w:rsid w:val="05DED6F0"/>
    <w:rsid w:val="05E5D97C"/>
    <w:rsid w:val="078385BF"/>
    <w:rsid w:val="07D613CE"/>
    <w:rsid w:val="0A76F30B"/>
    <w:rsid w:val="0C56F6E2"/>
    <w:rsid w:val="0CCE2D11"/>
    <w:rsid w:val="0DB15ACA"/>
    <w:rsid w:val="0DD0C078"/>
    <w:rsid w:val="0E3CAA32"/>
    <w:rsid w:val="0EE62494"/>
    <w:rsid w:val="0F99C12C"/>
    <w:rsid w:val="12C358DD"/>
    <w:rsid w:val="1448E06A"/>
    <w:rsid w:val="1538B071"/>
    <w:rsid w:val="1661CFBF"/>
    <w:rsid w:val="196DE383"/>
    <w:rsid w:val="19DD22B1"/>
    <w:rsid w:val="1A7FE919"/>
    <w:rsid w:val="1E0A6EDB"/>
    <w:rsid w:val="1E1C021B"/>
    <w:rsid w:val="1E976B77"/>
    <w:rsid w:val="1FB7D27C"/>
    <w:rsid w:val="20D60240"/>
    <w:rsid w:val="22EF733E"/>
    <w:rsid w:val="23272A6A"/>
    <w:rsid w:val="242C9A89"/>
    <w:rsid w:val="251B016B"/>
    <w:rsid w:val="2546251A"/>
    <w:rsid w:val="26271400"/>
    <w:rsid w:val="28F57674"/>
    <w:rsid w:val="2EE08110"/>
    <w:rsid w:val="3088ABE1"/>
    <w:rsid w:val="30D54841"/>
    <w:rsid w:val="31127825"/>
    <w:rsid w:val="31A96B59"/>
    <w:rsid w:val="31C75C5C"/>
    <w:rsid w:val="3216663E"/>
    <w:rsid w:val="326C512C"/>
    <w:rsid w:val="32D908C5"/>
    <w:rsid w:val="3653ECE2"/>
    <w:rsid w:val="368CC250"/>
    <w:rsid w:val="37D1D336"/>
    <w:rsid w:val="389AF789"/>
    <w:rsid w:val="38EB59ED"/>
    <w:rsid w:val="392F0C1D"/>
    <w:rsid w:val="3B903D69"/>
    <w:rsid w:val="3C1D9DDA"/>
    <w:rsid w:val="3E5B3D1B"/>
    <w:rsid w:val="3E723AA4"/>
    <w:rsid w:val="3F2A179C"/>
    <w:rsid w:val="40348D6D"/>
    <w:rsid w:val="40BEB4A6"/>
    <w:rsid w:val="4578FD6C"/>
    <w:rsid w:val="45C2033E"/>
    <w:rsid w:val="46012582"/>
    <w:rsid w:val="46ECCE3E"/>
    <w:rsid w:val="476D9ADC"/>
    <w:rsid w:val="48541374"/>
    <w:rsid w:val="4ADBB942"/>
    <w:rsid w:val="4AE8EDCE"/>
    <w:rsid w:val="4B91110B"/>
    <w:rsid w:val="4C8BDF50"/>
    <w:rsid w:val="4D278497"/>
    <w:rsid w:val="4D4609C9"/>
    <w:rsid w:val="51363948"/>
    <w:rsid w:val="51E1CD5D"/>
    <w:rsid w:val="534825C7"/>
    <w:rsid w:val="5389EEF0"/>
    <w:rsid w:val="54E1ECA9"/>
    <w:rsid w:val="55355903"/>
    <w:rsid w:val="56ACC09A"/>
    <w:rsid w:val="598D5498"/>
    <w:rsid w:val="5BCE62C3"/>
    <w:rsid w:val="5C445BCB"/>
    <w:rsid w:val="5C4FDE67"/>
    <w:rsid w:val="5CC9BBB2"/>
    <w:rsid w:val="5E036610"/>
    <w:rsid w:val="64A0ACD8"/>
    <w:rsid w:val="64E42608"/>
    <w:rsid w:val="65DB2C27"/>
    <w:rsid w:val="68B82F36"/>
    <w:rsid w:val="698F165D"/>
    <w:rsid w:val="6B473649"/>
    <w:rsid w:val="6BA6C0F3"/>
    <w:rsid w:val="6ECBF8E8"/>
    <w:rsid w:val="6F2D9112"/>
    <w:rsid w:val="70362C58"/>
    <w:rsid w:val="707A3216"/>
    <w:rsid w:val="724A9D89"/>
    <w:rsid w:val="754DA339"/>
    <w:rsid w:val="757D89E1"/>
    <w:rsid w:val="78156F62"/>
    <w:rsid w:val="7A473631"/>
    <w:rsid w:val="7B010BC7"/>
    <w:rsid w:val="7BEEA39A"/>
    <w:rsid w:val="7F5345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7F5D"/>
  <w15:chartTrackingRefBased/>
  <w15:docId w15:val="{A3E185F7-0B17-4153-B822-6AC829EA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499D"/>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Hyperlinkki">
    <w:name w:val="Hyperlink"/>
    <w:basedOn w:val="Kappaleenoletusfontti"/>
    <w:uiPriority w:val="99"/>
    <w:unhideWhenUsed/>
    <w:rsid w:val="001B0B97"/>
    <w:rPr>
      <w:color w:val="0563C1" w:themeColor="hyperlink"/>
      <w:u w:val="single"/>
    </w:rPr>
  </w:style>
  <w:style w:type="character" w:styleId="Ratkaisematonmaininta">
    <w:name w:val="Unresolved Mention"/>
    <w:basedOn w:val="Kappaleenoletusfontti"/>
    <w:uiPriority w:val="99"/>
    <w:semiHidden/>
    <w:unhideWhenUsed/>
    <w:rsid w:val="001B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413">
      <w:bodyDiv w:val="1"/>
      <w:marLeft w:val="0"/>
      <w:marRight w:val="0"/>
      <w:marTop w:val="0"/>
      <w:marBottom w:val="0"/>
      <w:divBdr>
        <w:top w:val="none" w:sz="0" w:space="0" w:color="auto"/>
        <w:left w:val="none" w:sz="0" w:space="0" w:color="auto"/>
        <w:bottom w:val="none" w:sz="0" w:space="0" w:color="auto"/>
        <w:right w:val="none" w:sz="0" w:space="0" w:color="auto"/>
      </w:divBdr>
    </w:div>
    <w:div w:id="169684856">
      <w:bodyDiv w:val="1"/>
      <w:marLeft w:val="0"/>
      <w:marRight w:val="0"/>
      <w:marTop w:val="0"/>
      <w:marBottom w:val="0"/>
      <w:divBdr>
        <w:top w:val="none" w:sz="0" w:space="0" w:color="auto"/>
        <w:left w:val="none" w:sz="0" w:space="0" w:color="auto"/>
        <w:bottom w:val="none" w:sz="0" w:space="0" w:color="auto"/>
        <w:right w:val="none" w:sz="0" w:space="0" w:color="auto"/>
      </w:divBdr>
    </w:div>
    <w:div w:id="184829404">
      <w:bodyDiv w:val="1"/>
      <w:marLeft w:val="0"/>
      <w:marRight w:val="0"/>
      <w:marTop w:val="0"/>
      <w:marBottom w:val="0"/>
      <w:divBdr>
        <w:top w:val="none" w:sz="0" w:space="0" w:color="auto"/>
        <w:left w:val="none" w:sz="0" w:space="0" w:color="auto"/>
        <w:bottom w:val="none" w:sz="0" w:space="0" w:color="auto"/>
        <w:right w:val="none" w:sz="0" w:space="0" w:color="auto"/>
      </w:divBdr>
    </w:div>
    <w:div w:id="195000993">
      <w:bodyDiv w:val="1"/>
      <w:marLeft w:val="0"/>
      <w:marRight w:val="0"/>
      <w:marTop w:val="0"/>
      <w:marBottom w:val="0"/>
      <w:divBdr>
        <w:top w:val="none" w:sz="0" w:space="0" w:color="auto"/>
        <w:left w:val="none" w:sz="0" w:space="0" w:color="auto"/>
        <w:bottom w:val="none" w:sz="0" w:space="0" w:color="auto"/>
        <w:right w:val="none" w:sz="0" w:space="0" w:color="auto"/>
      </w:divBdr>
    </w:div>
    <w:div w:id="1206142448">
      <w:bodyDiv w:val="1"/>
      <w:marLeft w:val="0"/>
      <w:marRight w:val="0"/>
      <w:marTop w:val="0"/>
      <w:marBottom w:val="0"/>
      <w:divBdr>
        <w:top w:val="none" w:sz="0" w:space="0" w:color="auto"/>
        <w:left w:val="none" w:sz="0" w:space="0" w:color="auto"/>
        <w:bottom w:val="none" w:sz="0" w:space="0" w:color="auto"/>
        <w:right w:val="none" w:sz="0" w:space="0" w:color="auto"/>
      </w:divBdr>
    </w:div>
    <w:div w:id="1632900122">
      <w:bodyDiv w:val="1"/>
      <w:marLeft w:val="0"/>
      <w:marRight w:val="0"/>
      <w:marTop w:val="0"/>
      <w:marBottom w:val="0"/>
      <w:divBdr>
        <w:top w:val="none" w:sz="0" w:space="0" w:color="auto"/>
        <w:left w:val="none" w:sz="0" w:space="0" w:color="auto"/>
        <w:bottom w:val="none" w:sz="0" w:space="0" w:color="auto"/>
        <w:right w:val="none" w:sz="0" w:space="0" w:color="auto"/>
      </w:divBdr>
    </w:div>
    <w:div w:id="20733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perusopetuksen-yhteiskuntaopin-paattoarvioinnin-tukimateriaa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67655-3270-4827-ADF1-D7EC320FE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C30A2-448D-4204-A047-DAB4A3BC98C0}">
  <ds:schemaRefs>
    <ds:schemaRef ds:uri="http://schemas.microsoft.com/sharepoint/v3/contenttype/forms"/>
  </ds:schemaRefs>
</ds:datastoreItem>
</file>

<file path=customXml/itemProps3.xml><?xml version="1.0" encoding="utf-8"?>
<ds:datastoreItem xmlns:ds="http://schemas.openxmlformats.org/officeDocument/2006/customXml" ds:itemID="{E270AFD1-DDA4-4B4F-A7FA-275821A2C929}">
  <ds:schemaRefs>
    <ds:schemaRef ds:uri="http://schemas.openxmlformats.org/officeDocument/2006/bibliography"/>
  </ds:schemaRefs>
</ds:datastoreItem>
</file>

<file path=customXml/itemProps4.xml><?xml version="1.0" encoding="utf-8"?>
<ds:datastoreItem xmlns:ds="http://schemas.openxmlformats.org/officeDocument/2006/customXml" ds:itemID="{8CA6C9E6-5A20-4CA2-8482-E3A103E9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8778</Characters>
  <Application>Microsoft Office Word</Application>
  <DocSecurity>0</DocSecurity>
  <Lines>73</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29</cp:revision>
  <dcterms:created xsi:type="dcterms:W3CDTF">2023-05-10T20:10:00Z</dcterms:created>
  <dcterms:modified xsi:type="dcterms:W3CDTF">2024-02-01T09:56:00Z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