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2689"/>
        <w:gridCol w:w="937"/>
        <w:gridCol w:w="2748"/>
        <w:gridCol w:w="1278"/>
        <w:gridCol w:w="848"/>
        <w:gridCol w:w="709"/>
        <w:gridCol w:w="2017"/>
        <w:gridCol w:w="4078"/>
      </w:tblGrid>
      <w:tr w:rsidR="000A49BA" w:rsidRPr="00CF104F" w14:paraId="40FDAA27" w14:textId="77777777" w:rsidTr="04EC913F">
        <w:trPr>
          <w:trHeight w:val="283"/>
        </w:trPr>
        <w:tc>
          <w:tcPr>
            <w:tcW w:w="765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2D207A" w14:textId="4F40C856" w:rsidR="000A49BA" w:rsidRPr="00CF104F" w:rsidRDefault="000A49BA" w:rsidP="00683A5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683A58">
              <w:rPr>
                <w:rFonts w:cstheme="minorHAnsi"/>
                <w:sz w:val="22"/>
                <w:szCs w:val="22"/>
              </w:rPr>
              <w:t>HI 7lk – Arvosana viisi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CF104F">
              <w:rPr>
                <w:rFonts w:cstheme="minorHAnsi"/>
                <w:b/>
                <w:bCs/>
                <w:sz w:val="22"/>
                <w:szCs w:val="22"/>
              </w:rPr>
              <w:t>S1 Teollisuusyhteiskunnan synty ja kehitys: </w:t>
            </w:r>
            <w:r w:rsidRPr="00CF104F">
              <w:rPr>
                <w:rFonts w:cstheme="minorHAnsi"/>
                <w:bCs/>
                <w:sz w:val="22"/>
                <w:szCs w:val="22"/>
              </w:rPr>
              <w:t>Perehdytään ilmiöön, joka on muuttanut ihmisen elämää, ihmisen ja luonnon suhdetta sekä maailmaa.</w:t>
            </w:r>
          </w:p>
          <w:p w14:paraId="49657EE3" w14:textId="77777777" w:rsidR="000A49BA" w:rsidRDefault="000A49BA" w:rsidP="00683A5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  <w:p w14:paraId="70EF96E7" w14:textId="5A31F3DE" w:rsidR="000A49BA" w:rsidRPr="00CF104F" w:rsidRDefault="000A49BA" w:rsidP="00683A5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CF104F">
              <w:rPr>
                <w:rFonts w:cstheme="minorHAnsi"/>
                <w:b/>
                <w:bCs/>
                <w:sz w:val="22"/>
                <w:szCs w:val="22"/>
              </w:rPr>
              <w:t>S2 Ihmiset muuttavat maailmaa:</w:t>
            </w:r>
            <w:r w:rsidRPr="00CF104F">
              <w:rPr>
                <w:rFonts w:cstheme="minorHAnsi"/>
                <w:bCs/>
                <w:sz w:val="22"/>
                <w:szCs w:val="22"/>
              </w:rPr>
              <w:t> Tutustutaan yhteiskunnallisiin aatteisiin, niiden merkitykseen ja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CF104F">
              <w:rPr>
                <w:rFonts w:cstheme="minorHAnsi"/>
                <w:bCs/>
                <w:sz w:val="22"/>
                <w:szCs w:val="22"/>
              </w:rPr>
              <w:t>seurauksiin sekä siihen, miten ihmiset ovat pystyneet vaikuttamaan omana aikanaan.</w:t>
            </w:r>
          </w:p>
          <w:p w14:paraId="549E344B" w14:textId="77777777" w:rsidR="000A49BA" w:rsidRPr="00CF104F" w:rsidRDefault="000A49BA" w:rsidP="00683A58">
            <w:pPr>
              <w:spacing w:after="0" w:line="240" w:lineRule="auto"/>
              <w:ind w:left="40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  <w:p w14:paraId="33BF0E11" w14:textId="56964A02" w:rsidR="000A49BA" w:rsidRPr="00CF104F" w:rsidRDefault="000A49BA" w:rsidP="000A49BA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CF104F">
              <w:rPr>
                <w:rFonts w:cstheme="minorHAnsi"/>
                <w:b/>
                <w:bCs/>
                <w:sz w:val="22"/>
                <w:szCs w:val="22"/>
              </w:rPr>
              <w:t>S3 Suomea luodaan, rakennetaan ja puolustetaan</w:t>
            </w:r>
            <w:r w:rsidRPr="00CF104F">
              <w:rPr>
                <w:rFonts w:cstheme="minorHAnsi"/>
                <w:bCs/>
                <w:sz w:val="22"/>
                <w:szCs w:val="22"/>
              </w:rPr>
              <w:t>: Perehdytään kulttuurin merkitykseen identiteetin rakentamisessa autonomian ajalla ja itsenäisen Suomen alkutaipaleeseen.</w:t>
            </w:r>
          </w:p>
        </w:tc>
        <w:tc>
          <w:tcPr>
            <w:tcW w:w="765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2A4BCDB" w14:textId="77777777" w:rsidR="000A49BA" w:rsidRDefault="000A49BA" w:rsidP="00683A5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2EC12C6" w14:textId="77777777" w:rsidR="000A49BA" w:rsidRDefault="000A49BA" w:rsidP="00683A5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48ABCA4" w14:textId="04EDD409" w:rsidR="000A49BA" w:rsidRPr="00CF104F" w:rsidRDefault="000A49BA" w:rsidP="00683A5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CF104F">
              <w:rPr>
                <w:rFonts w:cstheme="minorHAnsi"/>
                <w:b/>
                <w:bCs/>
                <w:sz w:val="22"/>
                <w:szCs w:val="22"/>
              </w:rPr>
              <w:t>S4 Suurten sotien aika:</w:t>
            </w:r>
            <w:r w:rsidRPr="00CF104F">
              <w:rPr>
                <w:rFonts w:cstheme="minorHAnsi"/>
                <w:bCs/>
                <w:sz w:val="22"/>
                <w:szCs w:val="22"/>
              </w:rPr>
              <w:t> Perehdytään maailmansotiin, kylmään sotaan ja sodista selviytymiseen erityisesti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CF104F">
              <w:rPr>
                <w:rFonts w:cstheme="minorHAnsi"/>
                <w:bCs/>
                <w:sz w:val="22"/>
                <w:szCs w:val="22"/>
              </w:rPr>
              <w:t>tavallisten ihmisten ja ihmisoikeuskysymysten näkökulmasta. Paneudutaan ihmisoikeusrikoksiin kuten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CF104F">
              <w:rPr>
                <w:rFonts w:cstheme="minorHAnsi"/>
                <w:bCs/>
                <w:sz w:val="22"/>
                <w:szCs w:val="22"/>
              </w:rPr>
              <w:t>holokaustiin ja muihin kansanvainoihin sekä ihmisoikeuksien edistämiseen.</w:t>
            </w:r>
          </w:p>
          <w:p w14:paraId="1517E6D8" w14:textId="77777777" w:rsidR="000A49BA" w:rsidRPr="00CF104F" w:rsidRDefault="000A49BA" w:rsidP="00683A58">
            <w:pPr>
              <w:spacing w:after="0" w:line="240" w:lineRule="auto"/>
              <w:ind w:left="40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  <w:p w14:paraId="653DEA2F" w14:textId="2AAECD30" w:rsidR="000A49BA" w:rsidRPr="00CF104F" w:rsidRDefault="000A49BA" w:rsidP="00683A5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CF104F">
              <w:rPr>
                <w:rFonts w:cstheme="minorHAnsi"/>
                <w:b/>
                <w:bCs/>
                <w:sz w:val="22"/>
                <w:szCs w:val="22"/>
              </w:rPr>
              <w:t>S5 Hyvinvointiyhteiskunnan rakentaminen</w:t>
            </w:r>
            <w:r w:rsidRPr="00CF104F">
              <w:rPr>
                <w:rFonts w:cstheme="minorHAnsi"/>
                <w:bCs/>
                <w:sz w:val="22"/>
                <w:szCs w:val="22"/>
              </w:rPr>
              <w:t>: Tarkastellaan arkielämän historiaa ja tämän päivän juuria.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CF104F">
              <w:rPr>
                <w:rFonts w:cstheme="minorHAnsi"/>
                <w:bCs/>
                <w:sz w:val="22"/>
                <w:szCs w:val="22"/>
              </w:rPr>
              <w:t>Kehityksen yksilölle tuomien saavutusten ohella perehdytään elinkeinorakenteen muutokseen ja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CF104F">
              <w:rPr>
                <w:rFonts w:cstheme="minorHAnsi"/>
                <w:bCs/>
                <w:sz w:val="22"/>
                <w:szCs w:val="22"/>
              </w:rPr>
              <w:t>palveluammattien yleistymiseen sekä kaupungistumiseen.</w:t>
            </w:r>
          </w:p>
          <w:p w14:paraId="7B3A467A" w14:textId="77777777" w:rsidR="000A49BA" w:rsidRPr="00CF104F" w:rsidRDefault="000A49BA" w:rsidP="00683A58">
            <w:pPr>
              <w:spacing w:after="0" w:line="240" w:lineRule="auto"/>
              <w:ind w:left="40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  <w:p w14:paraId="63BC11A4" w14:textId="46DA98AC" w:rsidR="000A49BA" w:rsidRPr="00683A58" w:rsidRDefault="000A49BA" w:rsidP="00683A5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CF104F">
              <w:rPr>
                <w:rFonts w:cstheme="minorHAnsi"/>
                <w:b/>
                <w:bCs/>
                <w:sz w:val="22"/>
                <w:szCs w:val="22"/>
              </w:rPr>
              <w:t>S6 Nykyisen maailmanpolitiikan juuret: </w:t>
            </w:r>
            <w:r w:rsidRPr="00CF104F">
              <w:rPr>
                <w:rFonts w:cstheme="minorHAnsi"/>
                <w:bCs/>
                <w:sz w:val="22"/>
                <w:szCs w:val="22"/>
              </w:rPr>
              <w:t>Syvennytään kehittyneiden ja kehittyvien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CF104F">
              <w:rPr>
                <w:rFonts w:cstheme="minorHAnsi"/>
                <w:bCs/>
                <w:sz w:val="22"/>
                <w:szCs w:val="22"/>
              </w:rPr>
              <w:t>maiden yhteiseen historiaan sekä uudenlaisten poliittisten jännitteiden syntyyn ja ratkaisuihin maailmassa.</w:t>
            </w:r>
          </w:p>
        </w:tc>
      </w:tr>
      <w:tr w:rsidR="00683A58" w:rsidRPr="00CF104F" w14:paraId="0B2B232E" w14:textId="77777777" w:rsidTr="04EC913F">
        <w:trPr>
          <w:trHeight w:val="52"/>
        </w:trPr>
        <w:tc>
          <w:tcPr>
            <w:tcW w:w="15304" w:type="dxa"/>
            <w:gridSpan w:val="8"/>
            <w:tcBorders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AE5CCF" w14:textId="348792C2" w:rsidR="00683A58" w:rsidRPr="00683A58" w:rsidRDefault="00683A58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683A58">
              <w:rPr>
                <w:rFonts w:cstheme="minorHAnsi"/>
                <w:sz w:val="22"/>
                <w:szCs w:val="22"/>
              </w:rPr>
              <w:t>Perehdytään seuraaviin kokonaisuuksiin</w:t>
            </w:r>
            <w:r w:rsidR="004D4153">
              <w:rPr>
                <w:rFonts w:cstheme="minorHAnsi"/>
                <w:sz w:val="22"/>
                <w:szCs w:val="22"/>
              </w:rPr>
              <w:t>, joista valitaan oppilaalle sopivat sisällöt.</w:t>
            </w:r>
          </w:p>
        </w:tc>
      </w:tr>
      <w:tr w:rsidR="004D4153" w:rsidRPr="00CF104F" w14:paraId="4DEF378D" w14:textId="77777777" w:rsidTr="04EC913F">
        <w:trPr>
          <w:trHeight w:val="283"/>
        </w:trPr>
        <w:tc>
          <w:tcPr>
            <w:tcW w:w="920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06BBC2" w14:textId="77777777" w:rsidR="004D4153" w:rsidRDefault="004D4153" w:rsidP="00683A5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437165">
              <w:rPr>
                <w:rFonts w:cstheme="minorHAnsi"/>
                <w:b/>
                <w:bCs/>
                <w:sz w:val="22"/>
                <w:szCs w:val="22"/>
              </w:rPr>
              <w:t>Ranskan vallankumous yhteiskunnallisena ilmiönä - mistä se tuli ja mihin se johti (S1, S2)</w:t>
            </w:r>
          </w:p>
          <w:p w14:paraId="26504E47" w14:textId="77777777" w:rsidR="004D4153" w:rsidRDefault="004D4153" w:rsidP="00683A58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16" w:hanging="283"/>
              <w:rPr>
                <w:rFonts w:cstheme="minorHAnsi"/>
                <w:bCs/>
                <w:sz w:val="22"/>
                <w:szCs w:val="22"/>
              </w:rPr>
            </w:pPr>
            <w:r w:rsidRPr="00371C8E">
              <w:rPr>
                <w:rFonts w:cstheme="minorHAnsi"/>
                <w:bCs/>
                <w:sz w:val="22"/>
                <w:szCs w:val="22"/>
              </w:rPr>
              <w:t>Muutokset Euroopass</w:t>
            </w:r>
            <w:r>
              <w:rPr>
                <w:rFonts w:cstheme="minorHAnsi"/>
                <w:bCs/>
                <w:sz w:val="22"/>
                <w:szCs w:val="22"/>
              </w:rPr>
              <w:t>a</w:t>
            </w:r>
          </w:p>
          <w:p w14:paraId="7CCE02D3" w14:textId="77777777" w:rsidR="004D4153" w:rsidRDefault="004D4153" w:rsidP="00683A58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16" w:hanging="283"/>
              <w:rPr>
                <w:rFonts w:cstheme="minorHAnsi"/>
                <w:bCs/>
                <w:sz w:val="22"/>
                <w:szCs w:val="22"/>
              </w:rPr>
            </w:pPr>
            <w:r w:rsidRPr="00683A58">
              <w:rPr>
                <w:rFonts w:cstheme="minorHAnsi"/>
                <w:bCs/>
                <w:sz w:val="22"/>
                <w:szCs w:val="22"/>
              </w:rPr>
              <w:t>Yhdysvaltojen synty</w:t>
            </w:r>
          </w:p>
          <w:p w14:paraId="1B194161" w14:textId="77777777" w:rsidR="004D4153" w:rsidRDefault="004D4153" w:rsidP="00683A58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</w:p>
          <w:p w14:paraId="0B3C4DB3" w14:textId="77777777" w:rsidR="004D4153" w:rsidRDefault="004D4153" w:rsidP="00683A58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4C2A7E">
              <w:rPr>
                <w:rFonts w:cstheme="minorHAnsi"/>
                <w:b/>
                <w:bCs/>
                <w:sz w:val="22"/>
                <w:szCs w:val="22"/>
              </w:rPr>
              <w:t>Suomi liitetään Venäjään ja autonomian ajan alku (S1, S3)</w:t>
            </w:r>
          </w:p>
          <w:p w14:paraId="22EFCE40" w14:textId="77777777" w:rsidR="004D4153" w:rsidRDefault="004D4153" w:rsidP="00683A58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C58FA77" w14:textId="77777777" w:rsidR="004D4153" w:rsidRDefault="004D4153" w:rsidP="00683A5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4C2A7E">
              <w:rPr>
                <w:rFonts w:cstheme="minorHAnsi"/>
                <w:b/>
                <w:bCs/>
                <w:sz w:val="22"/>
                <w:szCs w:val="22"/>
              </w:rPr>
              <w:t>Aatteiden vuosisata (S2)</w:t>
            </w:r>
          </w:p>
          <w:p w14:paraId="3D483671" w14:textId="77777777" w:rsidR="004D4153" w:rsidRDefault="004D4153" w:rsidP="00683A58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06" w:hanging="273"/>
              <w:rPr>
                <w:rFonts w:cstheme="minorHAnsi"/>
                <w:bCs/>
                <w:sz w:val="22"/>
                <w:szCs w:val="22"/>
              </w:rPr>
            </w:pPr>
            <w:r w:rsidRPr="00683A58">
              <w:rPr>
                <w:rFonts w:cstheme="minorHAnsi"/>
                <w:bCs/>
                <w:sz w:val="22"/>
                <w:szCs w:val="22"/>
              </w:rPr>
              <w:t>Tutustutaan ainakin seuraaviin aatteisiin: Konservatismi, liberalismi, nationalismi, sosialismi</w:t>
            </w:r>
          </w:p>
          <w:p w14:paraId="4E420CD7" w14:textId="77777777" w:rsidR="004D4153" w:rsidRDefault="004D4153" w:rsidP="00683A58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</w:p>
          <w:p w14:paraId="5A0A2BAF" w14:textId="39C41AB7" w:rsidR="004D4153" w:rsidRDefault="004D4153" w:rsidP="00683A5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4C2A7E">
              <w:rPr>
                <w:rFonts w:cstheme="minorHAnsi"/>
                <w:b/>
                <w:bCs/>
                <w:sz w:val="22"/>
                <w:szCs w:val="22"/>
              </w:rPr>
              <w:t>Teollistuminen ja teollisuusyhteiskunnan synty (S1, S3)</w:t>
            </w:r>
          </w:p>
          <w:p w14:paraId="6951DA0E" w14:textId="2D714EA1" w:rsidR="004D4153" w:rsidRPr="004D4153" w:rsidRDefault="004D4153" w:rsidP="000A49B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06" w:hanging="273"/>
              <w:rPr>
                <w:rFonts w:cstheme="minorHAnsi"/>
                <w:bCs/>
                <w:sz w:val="22"/>
                <w:szCs w:val="22"/>
              </w:rPr>
            </w:pPr>
            <w:r w:rsidRPr="00683A58">
              <w:rPr>
                <w:rFonts w:cstheme="minorHAnsi"/>
                <w:bCs/>
                <w:sz w:val="22"/>
                <w:szCs w:val="22"/>
              </w:rPr>
              <w:t>Teollinen vallankumous ja sen seuraukset eri maissa.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0362450" w14:textId="77777777" w:rsidR="004D4153" w:rsidRDefault="004D4153" w:rsidP="000A49B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4C2A7E">
              <w:rPr>
                <w:rFonts w:cstheme="minorHAnsi"/>
                <w:b/>
                <w:bCs/>
                <w:sz w:val="22"/>
                <w:szCs w:val="22"/>
              </w:rPr>
              <w:t>Yhdysvallat kasvaa suurvallaksi</w:t>
            </w:r>
          </w:p>
          <w:p w14:paraId="4F2E6B7A" w14:textId="77777777" w:rsidR="004D4153" w:rsidRDefault="004D4153" w:rsidP="000A49B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06" w:hanging="273"/>
              <w:rPr>
                <w:rFonts w:cstheme="minorHAnsi"/>
                <w:bCs/>
                <w:sz w:val="22"/>
                <w:szCs w:val="22"/>
              </w:rPr>
            </w:pPr>
            <w:r w:rsidRPr="000A49BA">
              <w:rPr>
                <w:rFonts w:cstheme="minorHAnsi"/>
                <w:bCs/>
                <w:sz w:val="22"/>
                <w:szCs w:val="22"/>
              </w:rPr>
              <w:t>Teollisuutta, taloutta ja poliittista valtaa</w:t>
            </w:r>
          </w:p>
          <w:p w14:paraId="478085EE" w14:textId="77777777" w:rsidR="004D4153" w:rsidRDefault="004D4153" w:rsidP="000A49BA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</w:p>
          <w:p w14:paraId="0A2A6D4B" w14:textId="77777777" w:rsidR="004D4153" w:rsidRDefault="004D4153" w:rsidP="004D4153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3D047C">
              <w:rPr>
                <w:rFonts w:cstheme="minorHAnsi"/>
                <w:b/>
                <w:bCs/>
                <w:sz w:val="22"/>
                <w:szCs w:val="22"/>
              </w:rPr>
              <w:t>Imperialismin luomat jännitteet (S1, S2, S6)</w:t>
            </w:r>
          </w:p>
          <w:p w14:paraId="6FE81D29" w14:textId="77777777" w:rsidR="004D4153" w:rsidRDefault="004D4153" w:rsidP="004D415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06" w:hanging="273"/>
              <w:rPr>
                <w:rFonts w:cstheme="minorHAnsi"/>
                <w:bCs/>
                <w:sz w:val="22"/>
                <w:szCs w:val="22"/>
              </w:rPr>
            </w:pPr>
            <w:r w:rsidRPr="004D4153">
              <w:rPr>
                <w:rFonts w:cstheme="minorHAnsi"/>
                <w:bCs/>
                <w:sz w:val="22"/>
                <w:szCs w:val="22"/>
              </w:rPr>
              <w:t>Afrikka, Aasia, Latinalainen Amerikka</w:t>
            </w:r>
          </w:p>
          <w:p w14:paraId="7474F62F" w14:textId="77777777" w:rsidR="004D4153" w:rsidRDefault="004D4153" w:rsidP="004D4153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</w:p>
          <w:p w14:paraId="0CCE0E50" w14:textId="77777777" w:rsidR="004D4153" w:rsidRDefault="004D4153" w:rsidP="004D4153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3D047C">
              <w:rPr>
                <w:rFonts w:cstheme="minorHAnsi"/>
                <w:b/>
                <w:bCs/>
                <w:sz w:val="22"/>
                <w:szCs w:val="22"/>
              </w:rPr>
              <w:t>Konfliktien vuosisata alkaa (S4, S6)</w:t>
            </w:r>
          </w:p>
          <w:p w14:paraId="5807CDA8" w14:textId="77777777" w:rsidR="004D4153" w:rsidRDefault="004D4153" w:rsidP="004D415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cstheme="minorHAnsi"/>
                <w:bCs/>
                <w:sz w:val="22"/>
                <w:szCs w:val="22"/>
              </w:rPr>
            </w:pPr>
            <w:r w:rsidRPr="007E14EF">
              <w:rPr>
                <w:rFonts w:cstheme="minorHAnsi"/>
                <w:bCs/>
                <w:sz w:val="22"/>
                <w:szCs w:val="22"/>
              </w:rPr>
              <w:t>Suomen autonomia uhattuna</w:t>
            </w:r>
          </w:p>
          <w:p w14:paraId="3E698185" w14:textId="77777777" w:rsidR="004D4153" w:rsidRDefault="004D4153" w:rsidP="004D415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cstheme="minorHAnsi"/>
                <w:bCs/>
                <w:sz w:val="22"/>
                <w:szCs w:val="22"/>
              </w:rPr>
            </w:pPr>
            <w:r w:rsidRPr="007E14EF">
              <w:rPr>
                <w:rFonts w:cstheme="minorHAnsi"/>
                <w:bCs/>
                <w:sz w:val="22"/>
                <w:szCs w:val="22"/>
              </w:rPr>
              <w:t>I Maailmansota seurauksineen</w:t>
            </w:r>
          </w:p>
          <w:p w14:paraId="709A9CD6" w14:textId="77777777" w:rsidR="004D4153" w:rsidRDefault="004D4153" w:rsidP="004D415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cstheme="minorHAnsi"/>
                <w:bCs/>
                <w:sz w:val="22"/>
                <w:szCs w:val="22"/>
              </w:rPr>
            </w:pPr>
            <w:r w:rsidRPr="007E14EF">
              <w:rPr>
                <w:rFonts w:cstheme="minorHAnsi"/>
                <w:bCs/>
                <w:sz w:val="22"/>
                <w:szCs w:val="22"/>
              </w:rPr>
              <w:t>Venäjän vallankumous</w:t>
            </w:r>
          </w:p>
          <w:p w14:paraId="0E76E646" w14:textId="77777777" w:rsidR="004D4153" w:rsidRDefault="004D4153" w:rsidP="004D415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cstheme="minorHAnsi"/>
                <w:bCs/>
                <w:sz w:val="22"/>
                <w:szCs w:val="22"/>
              </w:rPr>
            </w:pPr>
            <w:r w:rsidRPr="007E14EF">
              <w:rPr>
                <w:rFonts w:cstheme="minorHAnsi"/>
                <w:bCs/>
                <w:sz w:val="22"/>
                <w:szCs w:val="22"/>
              </w:rPr>
              <w:t>Suomen itsenäistyminen</w:t>
            </w:r>
          </w:p>
          <w:p w14:paraId="1E08AD5B" w14:textId="52EDF904" w:rsidR="004D4153" w:rsidRPr="004D4153" w:rsidRDefault="004D4153" w:rsidP="004D415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cstheme="minorHAnsi"/>
                <w:bCs/>
                <w:sz w:val="22"/>
                <w:szCs w:val="22"/>
              </w:rPr>
            </w:pPr>
            <w:r w:rsidRPr="004D4153">
              <w:rPr>
                <w:rFonts w:cstheme="minorHAnsi"/>
                <w:bCs/>
                <w:sz w:val="22"/>
                <w:szCs w:val="22"/>
              </w:rPr>
              <w:t>Sisällissota Suomessa 1918</w:t>
            </w:r>
          </w:p>
        </w:tc>
      </w:tr>
      <w:tr w:rsidR="3C4BC38B" w14:paraId="334D69BB" w14:textId="77777777" w:rsidTr="04EC913F">
        <w:trPr>
          <w:trHeight w:val="103"/>
        </w:trPr>
        <w:tc>
          <w:tcPr>
            <w:tcW w:w="15304" w:type="dxa"/>
            <w:gridSpan w:val="8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F745" w14:textId="77777777" w:rsidR="248FDB79" w:rsidRDefault="00C56FC3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D6854">
              <w:rPr>
                <w:sz w:val="22"/>
                <w:szCs w:val="22"/>
              </w:rPr>
              <w:t xml:space="preserve">OPH:n tukimateriaali päättöarviointiin: </w:t>
            </w:r>
            <w:hyperlink r:id="rId11">
              <w:r w:rsidR="4F3C0239" w:rsidRPr="04EC913F">
                <w:rPr>
                  <w:rStyle w:val="Hyperlinkki"/>
                  <w:sz w:val="22"/>
                  <w:szCs w:val="22"/>
                </w:rPr>
                <w:t>https://www.oph.fi/fi/koulutus-ja-tutkinnot/perusopetuksen-historian-oppiaineen-paattoarvioinnin-tukimateriaali</w:t>
              </w:r>
            </w:hyperlink>
            <w:r w:rsidR="4F3C0239" w:rsidRPr="04EC913F">
              <w:rPr>
                <w:sz w:val="22"/>
                <w:szCs w:val="22"/>
              </w:rPr>
              <w:t xml:space="preserve"> </w:t>
            </w:r>
          </w:p>
          <w:p w14:paraId="40617F4F" w14:textId="6846B066" w:rsidR="00E94C5D" w:rsidRDefault="009D6854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D6854">
              <w:rPr>
                <w:sz w:val="22"/>
                <w:szCs w:val="22"/>
              </w:rPr>
              <w:t>Tavoitteet T4, T5 ja T6 arvioidaan ainoastaan vuosiluokalla 7 Jyväskylän vuosiluokkaistamisten mukaisesti.</w:t>
            </w:r>
          </w:p>
        </w:tc>
      </w:tr>
      <w:tr w:rsidR="007E14EF" w:rsidRPr="00CF104F" w14:paraId="46C366B3" w14:textId="1D67C059" w:rsidTr="04EC913F">
        <w:trPr>
          <w:trHeight w:val="283"/>
        </w:trPr>
        <w:tc>
          <w:tcPr>
            <w:tcW w:w="2689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35F9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CF104F">
              <w:rPr>
                <w:rFonts w:cstheme="minorHAnsi"/>
                <w:b/>
                <w:sz w:val="22"/>
                <w:szCs w:val="22"/>
              </w:rPr>
              <w:lastRenderedPageBreak/>
              <w:t>Opetuksen tavoite</w:t>
            </w:r>
          </w:p>
          <w:p w14:paraId="3FB444EF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5680" w14:textId="0B228FB1" w:rsidR="00967922" w:rsidRPr="00CF104F" w:rsidRDefault="655F7AD4" w:rsidP="00683A58">
            <w:pPr>
              <w:spacing w:after="0" w:line="240" w:lineRule="auto"/>
              <w:ind w:left="40"/>
              <w:contextualSpacing/>
              <w:rPr>
                <w:b/>
                <w:sz w:val="22"/>
                <w:szCs w:val="22"/>
              </w:rPr>
            </w:pPr>
            <w:r w:rsidRPr="0A6861A5">
              <w:rPr>
                <w:b/>
                <w:bCs/>
                <w:sz w:val="22"/>
                <w:szCs w:val="22"/>
              </w:rPr>
              <w:t>Sisältö</w:t>
            </w:r>
            <w:r w:rsidR="4B4FDD3A" w:rsidRPr="0A6861A5">
              <w:rPr>
                <w:b/>
                <w:bCs/>
                <w:sz w:val="22"/>
                <w:szCs w:val="22"/>
              </w:rPr>
              <w:t>-</w:t>
            </w:r>
            <w:r w:rsidRPr="0A6861A5">
              <w:rPr>
                <w:b/>
                <w:bCs/>
                <w:sz w:val="22"/>
                <w:szCs w:val="22"/>
              </w:rPr>
              <w:t>alueet</w:t>
            </w:r>
          </w:p>
        </w:tc>
        <w:tc>
          <w:tcPr>
            <w:tcW w:w="2748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1F88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CF104F">
              <w:rPr>
                <w:rFonts w:cstheme="minorHAnsi"/>
                <w:b/>
                <w:sz w:val="22"/>
                <w:szCs w:val="22"/>
              </w:rPr>
              <w:t xml:space="preserve">Opetuksen tavoitteista johdetut oppimisen tavoitteet </w:t>
            </w:r>
          </w:p>
        </w:tc>
        <w:tc>
          <w:tcPr>
            <w:tcW w:w="2126" w:type="dxa"/>
            <w:gridSpan w:val="2"/>
            <w:shd w:val="clear" w:color="auto" w:fill="B4C6E7" w:themeFill="accent1" w:themeFillTint="66"/>
          </w:tcPr>
          <w:p w14:paraId="6F8A4C45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CF104F">
              <w:rPr>
                <w:rFonts w:cstheme="minorHAnsi"/>
                <w:b/>
                <w:sz w:val="22"/>
                <w:szCs w:val="22"/>
              </w:rPr>
              <w:t>Arvioinnin kohde</w:t>
            </w:r>
          </w:p>
        </w:tc>
        <w:tc>
          <w:tcPr>
            <w:tcW w:w="2726" w:type="dxa"/>
            <w:gridSpan w:val="2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D5D0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CF104F">
              <w:rPr>
                <w:rFonts w:cstheme="minorHAnsi"/>
                <w:b/>
                <w:sz w:val="22"/>
                <w:szCs w:val="22"/>
              </w:rPr>
              <w:t>Osaamisen kuvaus arvosanalle 5</w:t>
            </w:r>
          </w:p>
        </w:tc>
        <w:tc>
          <w:tcPr>
            <w:tcW w:w="4078" w:type="dxa"/>
            <w:shd w:val="clear" w:color="auto" w:fill="B4C6E7" w:themeFill="accent1" w:themeFillTint="66"/>
          </w:tcPr>
          <w:p w14:paraId="304AD307" w14:textId="2816B375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CF104F">
              <w:rPr>
                <w:rFonts w:cstheme="minorHAnsi"/>
                <w:b/>
                <w:sz w:val="22"/>
                <w:szCs w:val="22"/>
              </w:rPr>
              <w:t>Käytännönläheiset esimerkit</w:t>
            </w:r>
          </w:p>
        </w:tc>
      </w:tr>
      <w:tr w:rsidR="00781DBC" w:rsidRPr="00CF104F" w14:paraId="5350108C" w14:textId="418E82F8" w:rsidTr="04EC913F">
        <w:trPr>
          <w:trHeight w:val="283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CE92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T1 vahvistaa oppilaan kiinnostusta historiasta tiedonalana ja identiteettiä rakentavana oppiaineena</w:t>
            </w:r>
          </w:p>
        </w:tc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A64F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S1–S6</w:t>
            </w:r>
          </w:p>
          <w:p w14:paraId="2814F46D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B743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Oppilas kiinnostuu historiasta tiedonalana ja sen merkityksestä identiteetille.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1071FC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B8ED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i/>
                <w:iCs/>
                <w:sz w:val="22"/>
                <w:szCs w:val="22"/>
              </w:rPr>
              <w:t>Ei käytetä arvosanan muodostamisen perusteena. Oppilasta ohjataan pohtimaan kokemuksiaan osana itsearviointia.</w:t>
            </w:r>
          </w:p>
        </w:tc>
        <w:tc>
          <w:tcPr>
            <w:tcW w:w="4078" w:type="dxa"/>
          </w:tcPr>
          <w:p w14:paraId="13432C41" w14:textId="5776017A" w:rsidR="00967922" w:rsidRPr="006F0902" w:rsidRDefault="006F090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Huom</w:t>
            </w:r>
            <w:proofErr w:type="spellEnd"/>
            <w:r>
              <w:rPr>
                <w:rFonts w:cstheme="minorHAnsi"/>
                <w:sz w:val="22"/>
                <w:szCs w:val="22"/>
              </w:rPr>
              <w:t>! Itsearviointi</w:t>
            </w:r>
            <w:r w:rsidR="0000009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679EB" w:rsidRPr="00CF104F" w14:paraId="5AFC1A9D" w14:textId="13056A05" w:rsidTr="04EC913F">
        <w:trPr>
          <w:trHeight w:val="283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AA65" w14:textId="77777777" w:rsidR="00F679EB" w:rsidRPr="00CF104F" w:rsidRDefault="00F679EB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T2 aktivoida oppilasta hankkimaan historiallista tietoa sekä arvioimaan tiedonlähteiden luotettavuutta</w:t>
            </w:r>
          </w:p>
        </w:tc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AEDE" w14:textId="77777777" w:rsidR="00F679EB" w:rsidRPr="00CF104F" w:rsidRDefault="00F679EB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27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741B" w14:textId="77777777" w:rsidR="00F679EB" w:rsidRPr="00CF104F" w:rsidRDefault="00F679EB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Oppilas oppii hankkimaan historiallista tietoa ja arvioimaan tiedonlähteiden luotettavuutta sekä ymmärtämään, että historiallista tietoa voi tulkita eri tavoin.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14:paraId="35001A95" w14:textId="77777777" w:rsidR="00F679EB" w:rsidRPr="00CF104F" w:rsidRDefault="00F679EB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Historiatiedon hankkiminen ja lähteiden tulkinnallisuuden ymmärtäminen</w:t>
            </w:r>
          </w:p>
        </w:tc>
        <w:tc>
          <w:tcPr>
            <w:tcW w:w="2726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99BF" w14:textId="77777777" w:rsidR="00F679EB" w:rsidRPr="00CF104F" w:rsidRDefault="00F679EB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Oppilas löytää ohjatusti historian tapahtumaan tai ilmiöön liittyvää informaatiota hänelle annetusta lähteestä.</w:t>
            </w:r>
          </w:p>
          <w:p w14:paraId="44FF2980" w14:textId="77777777" w:rsidR="00F679EB" w:rsidRPr="00CF104F" w:rsidRDefault="00F679EB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0BE7E9AC" w14:textId="77777777" w:rsidR="00F679EB" w:rsidRPr="00CF104F" w:rsidRDefault="00F679EB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Oppilas tunnistaa opettajan ohjaamana, että samasta ilmiöstä tai lähteestä esiintyy erilaisia tulkintoja.</w:t>
            </w:r>
          </w:p>
        </w:tc>
        <w:tc>
          <w:tcPr>
            <w:tcW w:w="4078" w:type="dxa"/>
            <w:vMerge w:val="restart"/>
          </w:tcPr>
          <w:p w14:paraId="0D4BB6C7" w14:textId="6F5BFEB6" w:rsidR="00BD6CA3" w:rsidRDefault="004F51C6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Vuosiluokan kokonaisuuksista valitaan oppilaalle sopivat sisällöt. </w:t>
            </w:r>
          </w:p>
          <w:p w14:paraId="1425F42A" w14:textId="77777777" w:rsidR="00DF526E" w:rsidRDefault="00DF526E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607EBDA0" w14:textId="77777777" w:rsidR="00F679EB" w:rsidRDefault="00223517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Lähteinä voi käyttää oppikirjan tekstikatkelmien lisäksi </w:t>
            </w:r>
            <w:r w:rsidR="006B1430">
              <w:rPr>
                <w:rFonts w:cstheme="minorHAnsi"/>
                <w:sz w:val="22"/>
                <w:szCs w:val="22"/>
              </w:rPr>
              <w:t xml:space="preserve">esimerkiksi </w:t>
            </w:r>
            <w:r>
              <w:rPr>
                <w:rFonts w:cstheme="minorHAnsi"/>
                <w:sz w:val="22"/>
                <w:szCs w:val="22"/>
              </w:rPr>
              <w:t xml:space="preserve">vanhoja kirjeitä, lehtileikkeitä, </w:t>
            </w:r>
            <w:r w:rsidR="006B1430">
              <w:rPr>
                <w:rFonts w:cstheme="minorHAnsi"/>
                <w:sz w:val="22"/>
                <w:szCs w:val="22"/>
              </w:rPr>
              <w:t xml:space="preserve">uutisia, kuvia ja videoita. </w:t>
            </w:r>
          </w:p>
          <w:p w14:paraId="4A53FA58" w14:textId="77777777" w:rsidR="00331435" w:rsidRDefault="00331435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51C10254" w14:textId="47BFDAA9" w:rsidR="00331435" w:rsidRPr="00BD6CA3" w:rsidRDefault="00331435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Integroi esim. </w:t>
            </w:r>
            <w:r w:rsidR="00DD0A0D">
              <w:rPr>
                <w:rFonts w:cstheme="minorHAnsi"/>
                <w:sz w:val="22"/>
                <w:szCs w:val="22"/>
              </w:rPr>
              <w:t xml:space="preserve">AI </w:t>
            </w:r>
            <w:r>
              <w:rPr>
                <w:rFonts w:cstheme="minorHAnsi"/>
                <w:sz w:val="22"/>
                <w:szCs w:val="22"/>
              </w:rPr>
              <w:t xml:space="preserve">lähdekritiikin </w:t>
            </w:r>
            <w:r w:rsidR="00146F97">
              <w:rPr>
                <w:rFonts w:cstheme="minorHAnsi"/>
                <w:sz w:val="22"/>
                <w:szCs w:val="22"/>
              </w:rPr>
              <w:t xml:space="preserve">ja </w:t>
            </w:r>
            <w:r>
              <w:rPr>
                <w:rFonts w:cstheme="minorHAnsi"/>
                <w:sz w:val="22"/>
                <w:szCs w:val="22"/>
              </w:rPr>
              <w:t>vaikuttamis</w:t>
            </w:r>
            <w:r w:rsidR="00146F97">
              <w:rPr>
                <w:rFonts w:cstheme="minorHAnsi"/>
                <w:sz w:val="22"/>
                <w:szCs w:val="22"/>
              </w:rPr>
              <w:t xml:space="preserve">en </w:t>
            </w:r>
            <w:r>
              <w:rPr>
                <w:rFonts w:cstheme="minorHAnsi"/>
                <w:sz w:val="22"/>
                <w:szCs w:val="22"/>
              </w:rPr>
              <w:t>näkökulm</w:t>
            </w:r>
            <w:r w:rsidR="00146F97">
              <w:rPr>
                <w:rFonts w:cstheme="minorHAnsi"/>
                <w:sz w:val="22"/>
                <w:szCs w:val="22"/>
              </w:rPr>
              <w:t xml:space="preserve">ista. </w:t>
            </w:r>
          </w:p>
        </w:tc>
      </w:tr>
      <w:tr w:rsidR="00F679EB" w:rsidRPr="00CF104F" w14:paraId="22B46550" w14:textId="7483396A" w:rsidTr="04EC913F">
        <w:trPr>
          <w:trHeight w:val="283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DC8B" w14:textId="77777777" w:rsidR="00F679EB" w:rsidRPr="00CF104F" w:rsidRDefault="00F679EB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T3 auttaa oppilasta ymmärtämään, että historiallista tietoa voidaan tulkita eri tavoin</w:t>
            </w:r>
          </w:p>
        </w:tc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7C5D" w14:textId="77777777" w:rsidR="00F679EB" w:rsidRPr="00CF104F" w:rsidRDefault="00F679EB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27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DAA4" w14:textId="77777777" w:rsidR="00F679EB" w:rsidRPr="00CF104F" w:rsidRDefault="00F679EB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14:paraId="41EDC422" w14:textId="77777777" w:rsidR="00F679EB" w:rsidRPr="00CF104F" w:rsidRDefault="00F679EB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1E2C" w14:textId="77777777" w:rsidR="00F679EB" w:rsidRPr="00CF104F" w:rsidRDefault="00F679EB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78" w:type="dxa"/>
            <w:vMerge/>
          </w:tcPr>
          <w:p w14:paraId="693E7CBC" w14:textId="77777777" w:rsidR="00F679EB" w:rsidRPr="00CF104F" w:rsidRDefault="00F679EB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781DBC" w:rsidRPr="00CF104F" w14:paraId="694D8351" w14:textId="1D44216C" w:rsidTr="04EC913F">
        <w:trPr>
          <w:trHeight w:val="283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740B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T4 vahvistaa oppilaan kykyä ymmärtää historiallista aikaa ja siihen liittyviä käsitteitä</w:t>
            </w:r>
          </w:p>
        </w:tc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BCDC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2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2F4C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 xml:space="preserve">Oppilas oppii ymmärtämään historiallista aikaa ja siihen liittyviä käsitteitä.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9E03540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Kronologian ymmärtäminen</w:t>
            </w:r>
          </w:p>
        </w:tc>
        <w:tc>
          <w:tcPr>
            <w:tcW w:w="2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AC66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 xml:space="preserve">Oppilas tunnistaa historian keskeisiä sisällöllisiä käsitteitä ja pystyy opettajan ohjaamana suhteuttamaan ne ajallisesti toisiinsa. </w:t>
            </w:r>
          </w:p>
        </w:tc>
        <w:tc>
          <w:tcPr>
            <w:tcW w:w="4078" w:type="dxa"/>
          </w:tcPr>
          <w:p w14:paraId="016FAC08" w14:textId="447DDD7D" w:rsidR="00D45549" w:rsidRDefault="00D45549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Vuosiluokan kokonaisuuksista valitaan oppilaalle sopivat sisällöt ja</w:t>
            </w:r>
            <w:r w:rsidR="00B5625A">
              <w:rPr>
                <w:rFonts w:cstheme="minorHAnsi"/>
                <w:sz w:val="22"/>
                <w:szCs w:val="22"/>
              </w:rPr>
              <w:t xml:space="preserve"> tutustutaan</w:t>
            </w:r>
            <w:r>
              <w:rPr>
                <w:rFonts w:cstheme="minorHAnsi"/>
                <w:sz w:val="22"/>
                <w:szCs w:val="22"/>
              </w:rPr>
              <w:t xml:space="preserve"> sen sisällön keskeis</w:t>
            </w:r>
            <w:r w:rsidR="00B5625A">
              <w:rPr>
                <w:rFonts w:cstheme="minorHAnsi"/>
                <w:sz w:val="22"/>
                <w:szCs w:val="22"/>
              </w:rPr>
              <w:t xml:space="preserve">iin </w:t>
            </w:r>
            <w:r>
              <w:rPr>
                <w:rFonts w:cstheme="minorHAnsi"/>
                <w:sz w:val="22"/>
                <w:szCs w:val="22"/>
              </w:rPr>
              <w:t>käsittei</w:t>
            </w:r>
            <w:r w:rsidR="00B5625A">
              <w:rPr>
                <w:rFonts w:cstheme="minorHAnsi"/>
                <w:sz w:val="22"/>
                <w:szCs w:val="22"/>
              </w:rPr>
              <w:t>siin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70EFE139" w14:textId="3BE66C92" w:rsidR="00C71C26" w:rsidRDefault="00C71C26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59C30001" w14:textId="2FDC0F6C" w:rsidR="00967922" w:rsidRPr="00CF104F" w:rsidRDefault="00C72056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t xml:space="preserve">Oppilas </w:t>
            </w:r>
            <w:r w:rsidR="00922602" w:rsidRPr="0A6861A5">
              <w:rPr>
                <w:sz w:val="22"/>
                <w:szCs w:val="22"/>
              </w:rPr>
              <w:t xml:space="preserve">suullisesti tai kirjallisesti lajittelee </w:t>
            </w:r>
            <w:r w:rsidR="00D85319" w:rsidRPr="0A6861A5">
              <w:rPr>
                <w:sz w:val="22"/>
                <w:szCs w:val="22"/>
              </w:rPr>
              <w:t xml:space="preserve">opiskeltavia asioita aikajärjestykseen. </w:t>
            </w:r>
            <w:r w:rsidR="09928C7E" w:rsidRPr="0A6861A5">
              <w:rPr>
                <w:sz w:val="22"/>
                <w:szCs w:val="22"/>
              </w:rPr>
              <w:t>Esim. Euroopan sotien päätapahtumat.</w:t>
            </w:r>
          </w:p>
        </w:tc>
      </w:tr>
      <w:tr w:rsidR="00781DBC" w:rsidRPr="00CF104F" w14:paraId="20A943A4" w14:textId="28E4030D" w:rsidTr="04EC913F">
        <w:trPr>
          <w:trHeight w:val="283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B874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T5 ohjata oppilasta ymmärtämään ihmisen toimintaan ja päätöksentekoon vaikuttaneita tekijöitä erilaisissa historiallisissa tilanteissa</w:t>
            </w:r>
          </w:p>
        </w:tc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27E9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2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F374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Oppilas oppii ymmärtämään ihmisen toimintaa ja päätöksentekoon vaikuttaneita tekijöitä erilaisissa historiallisissa tilanteissa.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8B92DE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Historiallinen empatia</w:t>
            </w:r>
          </w:p>
        </w:tc>
        <w:tc>
          <w:tcPr>
            <w:tcW w:w="2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0D83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Oppilas tunnistaa, että ihmisillä on ollut erilaisia motiiveja toiminnalleen.</w:t>
            </w:r>
          </w:p>
        </w:tc>
        <w:tc>
          <w:tcPr>
            <w:tcW w:w="4078" w:type="dxa"/>
          </w:tcPr>
          <w:p w14:paraId="2AB9536A" w14:textId="241AB1A6" w:rsidR="1B863A50" w:rsidRDefault="1B863A50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t xml:space="preserve">Yhdistä T9 tavoitteeseen esim. </w:t>
            </w:r>
            <w:r w:rsidR="00B2241B">
              <w:rPr>
                <w:sz w:val="22"/>
                <w:szCs w:val="22"/>
              </w:rPr>
              <w:t>s</w:t>
            </w:r>
            <w:r w:rsidRPr="0A6861A5">
              <w:rPr>
                <w:sz w:val="22"/>
                <w:szCs w:val="22"/>
              </w:rPr>
              <w:t>euraavalla tavalla.</w:t>
            </w:r>
          </w:p>
          <w:p w14:paraId="1C46C10A" w14:textId="02C7FD3B" w:rsidR="0A6861A5" w:rsidRDefault="0A6861A5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50D17B5B" w14:textId="77777777" w:rsidR="003652D9" w:rsidRDefault="00C27BC5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Jotta oppilas voi tunnistaa</w:t>
            </w:r>
            <w:r w:rsidR="00082AA1">
              <w:rPr>
                <w:rFonts w:cstheme="minorHAnsi"/>
                <w:sz w:val="22"/>
                <w:szCs w:val="22"/>
              </w:rPr>
              <w:t xml:space="preserve"> historiallisia motiiveja</w:t>
            </w:r>
            <w:r>
              <w:rPr>
                <w:rFonts w:cstheme="minorHAnsi"/>
                <w:sz w:val="22"/>
                <w:szCs w:val="22"/>
              </w:rPr>
              <w:t xml:space="preserve">, hänelle tulee tarjota sisältöön </w:t>
            </w:r>
            <w:r w:rsidR="00082AA1">
              <w:rPr>
                <w:rFonts w:cstheme="minorHAnsi"/>
                <w:sz w:val="22"/>
                <w:szCs w:val="22"/>
              </w:rPr>
              <w:t>liittyv</w:t>
            </w:r>
            <w:r w:rsidR="003375E2">
              <w:rPr>
                <w:rFonts w:cstheme="minorHAnsi"/>
                <w:sz w:val="22"/>
                <w:szCs w:val="22"/>
              </w:rPr>
              <w:t>ää taustatietoa esim. ihmisten kertomuksia</w:t>
            </w:r>
            <w:r w:rsidR="00E63491">
              <w:rPr>
                <w:rFonts w:cstheme="minorHAnsi"/>
                <w:sz w:val="22"/>
                <w:szCs w:val="22"/>
              </w:rPr>
              <w:t xml:space="preserve"> ja </w:t>
            </w:r>
            <w:r w:rsidR="003375E2">
              <w:rPr>
                <w:rFonts w:cstheme="minorHAnsi"/>
                <w:sz w:val="22"/>
                <w:szCs w:val="22"/>
              </w:rPr>
              <w:t xml:space="preserve">kokemuksia, keskusteluja </w:t>
            </w:r>
            <w:r w:rsidR="00E63491">
              <w:rPr>
                <w:rFonts w:cstheme="minorHAnsi"/>
                <w:sz w:val="22"/>
                <w:szCs w:val="22"/>
              </w:rPr>
              <w:t>ryhmissä</w:t>
            </w:r>
            <w:r w:rsidR="00C255BF">
              <w:rPr>
                <w:rFonts w:cstheme="minorHAnsi"/>
                <w:sz w:val="22"/>
                <w:szCs w:val="22"/>
              </w:rPr>
              <w:t xml:space="preserve">, ja </w:t>
            </w:r>
            <w:r w:rsidR="00C255BF">
              <w:rPr>
                <w:rFonts w:cstheme="minorHAnsi"/>
                <w:sz w:val="22"/>
                <w:szCs w:val="22"/>
              </w:rPr>
              <w:lastRenderedPageBreak/>
              <w:t xml:space="preserve">ymmärrystä lisäävää tietoa niistä realiteeteista, missä </w:t>
            </w:r>
            <w:r w:rsidR="00184702">
              <w:rPr>
                <w:rFonts w:cstheme="minorHAnsi"/>
                <w:sz w:val="22"/>
                <w:szCs w:val="22"/>
              </w:rPr>
              <w:t xml:space="preserve">ihmiset ovat eläneet. </w:t>
            </w:r>
            <w:r w:rsidR="003652D9">
              <w:rPr>
                <w:rFonts w:cstheme="minorHAnsi"/>
                <w:sz w:val="22"/>
                <w:szCs w:val="22"/>
              </w:rPr>
              <w:t xml:space="preserve">Esim. </w:t>
            </w:r>
            <w:r w:rsidR="00117F75">
              <w:rPr>
                <w:rFonts w:cstheme="minorHAnsi"/>
                <w:sz w:val="22"/>
                <w:szCs w:val="22"/>
              </w:rPr>
              <w:t>teolli</w:t>
            </w:r>
            <w:r w:rsidR="0097400A">
              <w:rPr>
                <w:rFonts w:cstheme="minorHAnsi"/>
                <w:sz w:val="22"/>
                <w:szCs w:val="22"/>
              </w:rPr>
              <w:t xml:space="preserve">nen </w:t>
            </w:r>
            <w:r w:rsidR="00117F75">
              <w:rPr>
                <w:rFonts w:cstheme="minorHAnsi"/>
                <w:sz w:val="22"/>
                <w:szCs w:val="22"/>
              </w:rPr>
              <w:t xml:space="preserve">vallankumous ja sodat. </w:t>
            </w:r>
          </w:p>
          <w:p w14:paraId="4495BBAF" w14:textId="77777777" w:rsidR="0097400A" w:rsidRDefault="0097400A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4E55D7A6" w14:textId="2DE4904D" w:rsidR="0097400A" w:rsidRPr="00CF104F" w:rsidRDefault="20FA32D2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t>Esim</w:t>
            </w:r>
            <w:r w:rsidR="7916DE6E" w:rsidRPr="0A6861A5">
              <w:rPr>
                <w:sz w:val="22"/>
                <w:szCs w:val="22"/>
              </w:rPr>
              <w:t>. aihe: Suomen sodat itsenäistymisvaiheessa.</w:t>
            </w:r>
            <w:r w:rsidRPr="0A6861A5">
              <w:rPr>
                <w:sz w:val="22"/>
                <w:szCs w:val="22"/>
              </w:rPr>
              <w:t xml:space="preserve"> </w:t>
            </w:r>
            <w:r w:rsidR="170784D6" w:rsidRPr="0A6861A5">
              <w:rPr>
                <w:sz w:val="22"/>
                <w:szCs w:val="22"/>
              </w:rPr>
              <w:t xml:space="preserve">Oppilas </w:t>
            </w:r>
            <w:r w:rsidR="460E9833" w:rsidRPr="0A6861A5">
              <w:rPr>
                <w:sz w:val="22"/>
                <w:szCs w:val="22"/>
              </w:rPr>
              <w:t xml:space="preserve">tunnistaa </w:t>
            </w:r>
            <w:r w:rsidR="4C1E3508" w:rsidRPr="0A6861A5">
              <w:rPr>
                <w:sz w:val="22"/>
                <w:szCs w:val="22"/>
              </w:rPr>
              <w:t xml:space="preserve">tehtävässä annetusta kuvakokoelmasta </w:t>
            </w:r>
            <w:r w:rsidR="3D9E27E2" w:rsidRPr="0A6861A5">
              <w:rPr>
                <w:sz w:val="22"/>
                <w:szCs w:val="22"/>
              </w:rPr>
              <w:t>aiemman tietonsa pohjalta ne kuvat, joissa henkilöillä on jokin motiivi toimia Suomen itsenäistymisen puolesta tai vastaan</w:t>
            </w:r>
            <w:r w:rsidR="5F73FC24" w:rsidRPr="0A6861A5">
              <w:rPr>
                <w:sz w:val="22"/>
                <w:szCs w:val="22"/>
              </w:rPr>
              <w:t xml:space="preserve">, ja millaisia tunteita heillä saattaa tilanteeseen liittyä. </w:t>
            </w:r>
            <w:r w:rsidR="3D9E27E2" w:rsidRPr="0A6861A5">
              <w:rPr>
                <w:sz w:val="22"/>
                <w:szCs w:val="22"/>
              </w:rPr>
              <w:t xml:space="preserve"> (Kuvaesimerkkejä: NL sotilas, lotta, suomalainen sotilas</w:t>
            </w:r>
            <w:r w:rsidR="552EE948" w:rsidRPr="0A6861A5">
              <w:rPr>
                <w:sz w:val="22"/>
                <w:szCs w:val="22"/>
              </w:rPr>
              <w:t>, maanviljelijä</w:t>
            </w:r>
            <w:r w:rsidR="28004A24" w:rsidRPr="0A6861A5">
              <w:rPr>
                <w:sz w:val="22"/>
                <w:szCs w:val="22"/>
              </w:rPr>
              <w:t xml:space="preserve">, poliitikko </w:t>
            </w:r>
            <w:r w:rsidR="552EE948" w:rsidRPr="0A6861A5">
              <w:rPr>
                <w:sz w:val="22"/>
                <w:szCs w:val="22"/>
              </w:rPr>
              <w:t xml:space="preserve">jne.) </w:t>
            </w:r>
          </w:p>
        </w:tc>
      </w:tr>
      <w:tr w:rsidR="00F679EB" w:rsidRPr="00CF104F" w14:paraId="3DA15CBE" w14:textId="4E3ED18C" w:rsidTr="04EC913F">
        <w:trPr>
          <w:trHeight w:val="283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B788" w14:textId="77777777" w:rsidR="00F679EB" w:rsidRPr="00CF104F" w:rsidRDefault="00F679EB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lastRenderedPageBreak/>
              <w:t>T6 auttaa oppilasta arvioimaan erilaisia syitä historiallisille tapahtumille ja ilmiöille</w:t>
            </w:r>
          </w:p>
        </w:tc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A4CA" w14:textId="77777777" w:rsidR="00F679EB" w:rsidRPr="00CF104F" w:rsidRDefault="00F679EB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2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9EB2" w14:textId="77777777" w:rsidR="00F679EB" w:rsidRPr="00CF104F" w:rsidRDefault="00F679EB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Oppilas oppii arvioimaan erilaisia syitä historiallisille tapahtumille ja ilmiöille sekä analysoimaan historiallista muutosta ja jatkuvuutta.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B73C6D1" w14:textId="77777777" w:rsidR="00F679EB" w:rsidRPr="00CF104F" w:rsidRDefault="00F679EB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Syy-seuraussuhteiden ymmärtäminen historiassa sekä muutoksen ja jatkuvuuden ymmärtäminen</w:t>
            </w:r>
          </w:p>
          <w:p w14:paraId="639F0396" w14:textId="77777777" w:rsidR="00F679EB" w:rsidRPr="00CF104F" w:rsidRDefault="00F679EB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98328" w14:textId="77777777" w:rsidR="00F679EB" w:rsidRPr="00CF104F" w:rsidRDefault="00F679EB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 xml:space="preserve">Oppilas tunnistaa menneisyydestä asioita, jotka ovat muuttuneet tai pysyneet muuttumattomina. </w:t>
            </w:r>
          </w:p>
          <w:p w14:paraId="1309846E" w14:textId="77777777" w:rsidR="00F679EB" w:rsidRPr="00CF104F" w:rsidRDefault="00F679EB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6F2A1CD7" w14:textId="77777777" w:rsidR="00F679EB" w:rsidRPr="00CF104F" w:rsidRDefault="00F679EB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Oppilas nimeää muutokselle tai muuttumattomuudelle jonkin yksittäisen syyn.</w:t>
            </w:r>
          </w:p>
        </w:tc>
        <w:tc>
          <w:tcPr>
            <w:tcW w:w="4078" w:type="dxa"/>
          </w:tcPr>
          <w:p w14:paraId="5AF9C452" w14:textId="02BB6BC1" w:rsidR="004F147B" w:rsidRPr="00CF104F" w:rsidRDefault="1829A97E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t>Havainnollistavat kuvat</w:t>
            </w:r>
            <w:r w:rsidR="639BBB77" w:rsidRPr="0A6861A5">
              <w:rPr>
                <w:sz w:val="22"/>
                <w:szCs w:val="22"/>
              </w:rPr>
              <w:t xml:space="preserve"> </w:t>
            </w:r>
            <w:r w:rsidRPr="0A6861A5">
              <w:rPr>
                <w:sz w:val="22"/>
                <w:szCs w:val="22"/>
              </w:rPr>
              <w:t xml:space="preserve">esim. </w:t>
            </w:r>
            <w:r w:rsidR="7199B7D4" w:rsidRPr="0A6861A5">
              <w:rPr>
                <w:sz w:val="22"/>
                <w:szCs w:val="22"/>
              </w:rPr>
              <w:t>t</w:t>
            </w:r>
            <w:r w:rsidRPr="0A6861A5">
              <w:rPr>
                <w:sz w:val="22"/>
                <w:szCs w:val="22"/>
              </w:rPr>
              <w:t>eollistumisen vaikutuksista tuotteisiin ja työskentelytapoihin (</w:t>
            </w:r>
            <w:r w:rsidR="61391AF3" w:rsidRPr="0A6861A5">
              <w:rPr>
                <w:sz w:val="22"/>
                <w:szCs w:val="22"/>
              </w:rPr>
              <w:t>e</w:t>
            </w:r>
            <w:r w:rsidRPr="0A6861A5">
              <w:rPr>
                <w:sz w:val="22"/>
                <w:szCs w:val="22"/>
              </w:rPr>
              <w:t xml:space="preserve">sim. tehdaslinjasto vs. Robotti, autot, rautatiet, </w:t>
            </w:r>
            <w:r w:rsidR="1E24C549" w:rsidRPr="0A6861A5">
              <w:rPr>
                <w:sz w:val="22"/>
                <w:szCs w:val="22"/>
              </w:rPr>
              <w:t>rakennusarkkitehtuuri</w:t>
            </w:r>
            <w:r w:rsidRPr="0A6861A5">
              <w:rPr>
                <w:sz w:val="22"/>
                <w:szCs w:val="22"/>
              </w:rPr>
              <w:t>)</w:t>
            </w:r>
            <w:r w:rsidR="74C5E679" w:rsidRPr="0A6861A5">
              <w:rPr>
                <w:sz w:val="22"/>
                <w:szCs w:val="22"/>
              </w:rPr>
              <w:t xml:space="preserve">, joista keskustellaan tai tehdään kirjallisia havaintoja. </w:t>
            </w:r>
          </w:p>
        </w:tc>
      </w:tr>
      <w:tr w:rsidR="00781DBC" w:rsidRPr="00CF104F" w14:paraId="506336CF" w14:textId="0178E173" w:rsidTr="04EC913F">
        <w:trPr>
          <w:trHeight w:val="283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3D29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T9 ohjata oppilasta selittämään ihmisen toiminnan tarkoitusperiä</w:t>
            </w:r>
          </w:p>
        </w:tc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2DF3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2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BE3C" w14:textId="77777777" w:rsidR="00967922" w:rsidRPr="00CF104F" w:rsidRDefault="00967922" w:rsidP="00683A58">
            <w:pPr>
              <w:spacing w:after="0" w:line="240" w:lineRule="auto"/>
              <w:ind w:left="6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Oppilas oppii selittämään ihmisen toiminnan tarkoitusperiä.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D4DE069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>Ihmisen toiminnan selittäminen</w:t>
            </w:r>
          </w:p>
        </w:tc>
        <w:tc>
          <w:tcPr>
            <w:tcW w:w="2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E31A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 xml:space="preserve">Oppilas osoittaa ohjatusti, miten ihmisen toiminnan motiivi näkyy jossain historian tapahtumassa tai ilmiössä. </w:t>
            </w:r>
          </w:p>
        </w:tc>
        <w:tc>
          <w:tcPr>
            <w:tcW w:w="4078" w:type="dxa"/>
          </w:tcPr>
          <w:p w14:paraId="156DA823" w14:textId="454942E2" w:rsidR="00967922" w:rsidRPr="00CF104F" w:rsidRDefault="09D7DD2C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t xml:space="preserve">Yhdistettävissä T5 tavoitteen suorittamiseen. </w:t>
            </w:r>
          </w:p>
        </w:tc>
      </w:tr>
      <w:tr w:rsidR="00781DBC" w:rsidRPr="00CF104F" w14:paraId="5BA8E25B" w14:textId="41CB61DE" w:rsidTr="04EC913F">
        <w:trPr>
          <w:trHeight w:val="283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C5CD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 xml:space="preserve">T11 harjaannuttaa oppilasta käyttämään erilaisia lähteitä, vertailemaan niitä ja muodostamaan oman </w:t>
            </w:r>
            <w:r w:rsidRPr="00CF104F">
              <w:rPr>
                <w:rFonts w:cstheme="minorHAnsi"/>
                <w:sz w:val="22"/>
                <w:szCs w:val="22"/>
              </w:rPr>
              <w:lastRenderedPageBreak/>
              <w:t>perustellun tulkintansa niiden pohjalta</w:t>
            </w:r>
          </w:p>
        </w:tc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088F" w14:textId="77777777" w:rsidR="00967922" w:rsidRPr="00CF104F" w:rsidRDefault="00967922" w:rsidP="00683A58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lastRenderedPageBreak/>
              <w:t>S1–S6</w:t>
            </w:r>
          </w:p>
        </w:tc>
        <w:tc>
          <w:tcPr>
            <w:tcW w:w="2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53E8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 xml:space="preserve">Oppilas oppii käyttämään erilaisia lähteitä, vertailemaan niitä ja </w:t>
            </w:r>
            <w:r w:rsidRPr="00CF104F">
              <w:rPr>
                <w:rFonts w:cstheme="minorHAnsi"/>
                <w:sz w:val="22"/>
                <w:szCs w:val="22"/>
              </w:rPr>
              <w:lastRenderedPageBreak/>
              <w:t>muodostamaan niiden pohjalta oman perustellun tulkintansa.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9E9ABCB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lastRenderedPageBreak/>
              <w:t>Historian tietolähteiden käyttäminen ja historiatiedon tuottaminen</w:t>
            </w:r>
          </w:p>
        </w:tc>
        <w:tc>
          <w:tcPr>
            <w:tcW w:w="2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73A5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CF104F">
              <w:rPr>
                <w:rFonts w:cstheme="minorHAnsi"/>
                <w:sz w:val="22"/>
                <w:szCs w:val="22"/>
              </w:rPr>
              <w:t xml:space="preserve">Oppilas vastaa ohjatusti menneisyyttä koskeviin kysymyksiin hänelle annetun tietolähteen pohjalta. </w:t>
            </w:r>
          </w:p>
          <w:p w14:paraId="19117D2D" w14:textId="77777777" w:rsidR="00967922" w:rsidRPr="00CF104F" w:rsidRDefault="00967922" w:rsidP="00683A5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2FF81776" w14:textId="41500A61" w:rsidR="00967922" w:rsidRPr="00CF104F" w:rsidRDefault="00967922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t>Oppilas muodostaa opettajan ohjaamana jostain lähteestä tulkinnan.</w:t>
            </w:r>
          </w:p>
        </w:tc>
        <w:tc>
          <w:tcPr>
            <w:tcW w:w="4078" w:type="dxa"/>
          </w:tcPr>
          <w:p w14:paraId="3E979B01" w14:textId="1AC134A0" w:rsidR="00967922" w:rsidRPr="00CF104F" w:rsidRDefault="1A83B7EB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lastRenderedPageBreak/>
              <w:t xml:space="preserve">Tietolähteenä voi toimia oppikirjan lisäksi esim. Kirje, sanomalehtileike, mainos, video, kuva tai infograafi. </w:t>
            </w:r>
          </w:p>
          <w:p w14:paraId="7A87F908" w14:textId="6356E2AE" w:rsidR="00967922" w:rsidRPr="00CF104F" w:rsidRDefault="00967922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3B154774" w14:textId="47FCECDD" w:rsidR="00967922" w:rsidRPr="00CF104F" w:rsidRDefault="301673D1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lastRenderedPageBreak/>
              <w:t>Helposti yhdistettävissä muihin vuosiluokan tavoitteisiin. Esim. T6 tavoitteen tehtävään liittyvät</w:t>
            </w:r>
            <w:r w:rsidR="003C6533">
              <w:rPr>
                <w:sz w:val="22"/>
                <w:szCs w:val="22"/>
              </w:rPr>
              <w:t xml:space="preserve"> havainnot.</w:t>
            </w:r>
            <w:r w:rsidRPr="0A6861A5">
              <w:rPr>
                <w:sz w:val="22"/>
                <w:szCs w:val="22"/>
              </w:rPr>
              <w:t xml:space="preserve"> </w:t>
            </w:r>
          </w:p>
          <w:p w14:paraId="153435A2" w14:textId="6CDE5B1F" w:rsidR="00967922" w:rsidRPr="00CF104F" w:rsidRDefault="00967922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32764FBA" w14:textId="6E2472CF" w:rsidR="00967922" w:rsidRPr="00CF104F" w:rsidRDefault="1ABD80C0" w:rsidP="00683A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t xml:space="preserve">Opettajan apukysymysten saattelemana oppilas tekee tulkinnan esim. kirjeen kirjoittajan elämäntilanteesta, ajatuksista tai epäilyksistä ja toiveista. </w:t>
            </w:r>
          </w:p>
        </w:tc>
      </w:tr>
    </w:tbl>
    <w:p w14:paraId="50F3E384" w14:textId="77777777" w:rsidR="00FC2431" w:rsidRPr="00CF104F" w:rsidRDefault="00FC2431" w:rsidP="00683A58">
      <w:pPr>
        <w:spacing w:line="240" w:lineRule="auto"/>
        <w:rPr>
          <w:sz w:val="22"/>
          <w:szCs w:val="22"/>
        </w:rPr>
      </w:pPr>
    </w:p>
    <w:sectPr w:rsidR="00FC2431" w:rsidRPr="00CF104F" w:rsidSect="00303069">
      <w:headerReference w:type="default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B221" w14:textId="77777777" w:rsidR="002C2C39" w:rsidRDefault="002C2C39" w:rsidP="0026504C">
      <w:pPr>
        <w:spacing w:after="0" w:line="240" w:lineRule="auto"/>
      </w:pPr>
      <w:r>
        <w:separator/>
      </w:r>
    </w:p>
  </w:endnote>
  <w:endnote w:type="continuationSeparator" w:id="0">
    <w:p w14:paraId="764E19C1" w14:textId="77777777" w:rsidR="002C2C39" w:rsidRDefault="002C2C39" w:rsidP="0026504C">
      <w:pPr>
        <w:spacing w:after="0" w:line="240" w:lineRule="auto"/>
      </w:pPr>
      <w:r>
        <w:continuationSeparator/>
      </w:r>
    </w:p>
  </w:endnote>
  <w:endnote w:type="continuationNotice" w:id="1">
    <w:p w14:paraId="63732592" w14:textId="77777777" w:rsidR="002C2C39" w:rsidRDefault="002C2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8065C7C" w14:paraId="00EC0369" w14:textId="77777777" w:rsidTr="18065C7C">
      <w:trPr>
        <w:trHeight w:val="300"/>
      </w:trPr>
      <w:tc>
        <w:tcPr>
          <w:tcW w:w="5130" w:type="dxa"/>
        </w:tcPr>
        <w:p w14:paraId="1519CB6E" w14:textId="16A9D407" w:rsidR="18065C7C" w:rsidRDefault="18065C7C" w:rsidP="18065C7C">
          <w:pPr>
            <w:pStyle w:val="Yltunniste"/>
            <w:ind w:left="-115"/>
          </w:pPr>
        </w:p>
      </w:tc>
      <w:tc>
        <w:tcPr>
          <w:tcW w:w="5130" w:type="dxa"/>
        </w:tcPr>
        <w:p w14:paraId="368DE267" w14:textId="79261CB9" w:rsidR="18065C7C" w:rsidRDefault="18065C7C" w:rsidP="18065C7C">
          <w:pPr>
            <w:pStyle w:val="Yltunniste"/>
            <w:jc w:val="center"/>
          </w:pPr>
        </w:p>
      </w:tc>
      <w:tc>
        <w:tcPr>
          <w:tcW w:w="5130" w:type="dxa"/>
        </w:tcPr>
        <w:p w14:paraId="3F3E7E1B" w14:textId="346CA381" w:rsidR="18065C7C" w:rsidRDefault="18065C7C" w:rsidP="18065C7C">
          <w:pPr>
            <w:pStyle w:val="Yltunniste"/>
            <w:ind w:right="-115"/>
            <w:jc w:val="right"/>
          </w:pPr>
        </w:p>
      </w:tc>
    </w:tr>
  </w:tbl>
  <w:p w14:paraId="584DCF11" w14:textId="66EA3BB5" w:rsidR="18065C7C" w:rsidRDefault="18065C7C" w:rsidP="18065C7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1A40" w14:textId="77777777" w:rsidR="002C2C39" w:rsidRDefault="002C2C39" w:rsidP="0026504C">
      <w:pPr>
        <w:spacing w:after="0" w:line="240" w:lineRule="auto"/>
      </w:pPr>
      <w:r>
        <w:separator/>
      </w:r>
    </w:p>
  </w:footnote>
  <w:footnote w:type="continuationSeparator" w:id="0">
    <w:p w14:paraId="267D6E5B" w14:textId="77777777" w:rsidR="002C2C39" w:rsidRDefault="002C2C39" w:rsidP="0026504C">
      <w:pPr>
        <w:spacing w:after="0" w:line="240" w:lineRule="auto"/>
      </w:pPr>
      <w:r>
        <w:continuationSeparator/>
      </w:r>
    </w:p>
  </w:footnote>
  <w:footnote w:type="continuationNotice" w:id="1">
    <w:p w14:paraId="43CE56EC" w14:textId="77777777" w:rsidR="002C2C39" w:rsidRDefault="002C2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AE05" w14:textId="3FF0101C" w:rsidR="0A6861A5" w:rsidRPr="00303069" w:rsidRDefault="0A6861A5" w:rsidP="0A6861A5">
    <w:pPr>
      <w:pStyle w:val="Yltunniste"/>
      <w:rPr>
        <w:sz w:val="22"/>
        <w:szCs w:val="22"/>
      </w:rPr>
    </w:pPr>
    <w:r w:rsidRPr="18065C7C">
      <w:rPr>
        <w:noProof/>
        <w:sz w:val="22"/>
        <w:szCs w:val="22"/>
      </w:rPr>
      <w:fldChar w:fldCharType="begin"/>
    </w:r>
    <w:r w:rsidRPr="18065C7C">
      <w:rPr>
        <w:sz w:val="22"/>
        <w:szCs w:val="22"/>
      </w:rPr>
      <w:instrText>PAGE</w:instrText>
    </w:r>
    <w:r w:rsidRPr="18065C7C">
      <w:rPr>
        <w:sz w:val="22"/>
        <w:szCs w:val="22"/>
      </w:rPr>
      <w:fldChar w:fldCharType="separate"/>
    </w:r>
    <w:r w:rsidR="18065C7C" w:rsidRPr="18065C7C">
      <w:rPr>
        <w:noProof/>
        <w:sz w:val="22"/>
        <w:szCs w:val="22"/>
      </w:rPr>
      <w:t>1</w:t>
    </w:r>
    <w:r w:rsidRPr="18065C7C">
      <w:rPr>
        <w:noProof/>
        <w:sz w:val="22"/>
        <w:szCs w:val="22"/>
      </w:rPr>
      <w:fldChar w:fldCharType="end"/>
    </w:r>
    <w:r w:rsidR="18065C7C" w:rsidRPr="18065C7C">
      <w:rPr>
        <w:sz w:val="22"/>
        <w:szCs w:val="22"/>
      </w:rPr>
      <w:t xml:space="preserve"> </w:t>
    </w:r>
    <w:r w:rsidR="00683A58">
      <w:rPr>
        <w:sz w:val="22"/>
        <w:szCs w:val="22"/>
      </w:rPr>
      <w:t>–</w:t>
    </w:r>
    <w:r w:rsidR="18065C7C" w:rsidRPr="18065C7C">
      <w:rPr>
        <w:sz w:val="22"/>
        <w:szCs w:val="22"/>
      </w:rPr>
      <w:t xml:space="preserve"> Historia 7lk </w:t>
    </w:r>
    <w:r w:rsidR="00683A58">
      <w:rPr>
        <w:sz w:val="22"/>
        <w:szCs w:val="22"/>
      </w:rPr>
      <w:t>– Arvosana viisi</w:t>
    </w:r>
  </w:p>
  <w:p w14:paraId="679F46EA" w14:textId="6CFD18D6" w:rsidR="0026504C" w:rsidRPr="00303069" w:rsidRDefault="0026504C">
    <w:pPr>
      <w:pStyle w:val="Yltunnis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FA9"/>
    <w:multiLevelType w:val="hybridMultilevel"/>
    <w:tmpl w:val="44E0BFC8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5A350F7"/>
    <w:multiLevelType w:val="hybridMultilevel"/>
    <w:tmpl w:val="B734D5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2F1"/>
    <w:multiLevelType w:val="hybridMultilevel"/>
    <w:tmpl w:val="58F2AB60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249773277">
    <w:abstractNumId w:val="2"/>
  </w:num>
  <w:num w:numId="2" w16cid:durableId="1154419522">
    <w:abstractNumId w:val="0"/>
  </w:num>
  <w:num w:numId="3" w16cid:durableId="308444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AF"/>
    <w:rsid w:val="0000009B"/>
    <w:rsid w:val="00055AF5"/>
    <w:rsid w:val="00082AA1"/>
    <w:rsid w:val="000A49BA"/>
    <w:rsid w:val="000D4685"/>
    <w:rsid w:val="001012FD"/>
    <w:rsid w:val="00117F75"/>
    <w:rsid w:val="00146F97"/>
    <w:rsid w:val="0016655D"/>
    <w:rsid w:val="0017616A"/>
    <w:rsid w:val="00184702"/>
    <w:rsid w:val="00223517"/>
    <w:rsid w:val="0026504C"/>
    <w:rsid w:val="002C2C39"/>
    <w:rsid w:val="002C7B16"/>
    <w:rsid w:val="00303069"/>
    <w:rsid w:val="00331435"/>
    <w:rsid w:val="003375E2"/>
    <w:rsid w:val="00352585"/>
    <w:rsid w:val="003652D9"/>
    <w:rsid w:val="00371C8E"/>
    <w:rsid w:val="003C6533"/>
    <w:rsid w:val="003D047C"/>
    <w:rsid w:val="0042156E"/>
    <w:rsid w:val="00437165"/>
    <w:rsid w:val="004928B8"/>
    <w:rsid w:val="004C2A7E"/>
    <w:rsid w:val="004D4153"/>
    <w:rsid w:val="004F147B"/>
    <w:rsid w:val="004F51C6"/>
    <w:rsid w:val="00674AAF"/>
    <w:rsid w:val="00683A58"/>
    <w:rsid w:val="006B1430"/>
    <w:rsid w:val="006F0902"/>
    <w:rsid w:val="00781DBC"/>
    <w:rsid w:val="0079481C"/>
    <w:rsid w:val="007A0D12"/>
    <w:rsid w:val="007E14EF"/>
    <w:rsid w:val="007E4CE6"/>
    <w:rsid w:val="008A432E"/>
    <w:rsid w:val="008F008F"/>
    <w:rsid w:val="00922602"/>
    <w:rsid w:val="00935BD8"/>
    <w:rsid w:val="00967922"/>
    <w:rsid w:val="0097400A"/>
    <w:rsid w:val="009D6854"/>
    <w:rsid w:val="009F2F76"/>
    <w:rsid w:val="00AE2E01"/>
    <w:rsid w:val="00B2241B"/>
    <w:rsid w:val="00B5625A"/>
    <w:rsid w:val="00BD6CA3"/>
    <w:rsid w:val="00C255BF"/>
    <w:rsid w:val="00C27BC5"/>
    <w:rsid w:val="00C56FC3"/>
    <w:rsid w:val="00C71C26"/>
    <w:rsid w:val="00C72056"/>
    <w:rsid w:val="00C9268D"/>
    <w:rsid w:val="00CA5F42"/>
    <w:rsid w:val="00CF104F"/>
    <w:rsid w:val="00D31061"/>
    <w:rsid w:val="00D45549"/>
    <w:rsid w:val="00D85319"/>
    <w:rsid w:val="00DD0A0D"/>
    <w:rsid w:val="00DF526E"/>
    <w:rsid w:val="00E2377C"/>
    <w:rsid w:val="00E63491"/>
    <w:rsid w:val="00E94C5D"/>
    <w:rsid w:val="00EC1A8E"/>
    <w:rsid w:val="00F679EB"/>
    <w:rsid w:val="00FC2431"/>
    <w:rsid w:val="00FE0647"/>
    <w:rsid w:val="04EC913F"/>
    <w:rsid w:val="06F651C8"/>
    <w:rsid w:val="0951918C"/>
    <w:rsid w:val="09928C7E"/>
    <w:rsid w:val="09D7DD2C"/>
    <w:rsid w:val="0A6861A5"/>
    <w:rsid w:val="0AE8CE66"/>
    <w:rsid w:val="0D4C6AEF"/>
    <w:rsid w:val="0D974B93"/>
    <w:rsid w:val="115CA371"/>
    <w:rsid w:val="12DA5347"/>
    <w:rsid w:val="13F81F5F"/>
    <w:rsid w:val="1611F409"/>
    <w:rsid w:val="170784D6"/>
    <w:rsid w:val="18065C7C"/>
    <w:rsid w:val="18233592"/>
    <w:rsid w:val="1829A97E"/>
    <w:rsid w:val="1A83B7EB"/>
    <w:rsid w:val="1ABD80C0"/>
    <w:rsid w:val="1B863A50"/>
    <w:rsid w:val="1BB415AC"/>
    <w:rsid w:val="1E24C549"/>
    <w:rsid w:val="20FA32D2"/>
    <w:rsid w:val="24604493"/>
    <w:rsid w:val="248FDB79"/>
    <w:rsid w:val="2707141A"/>
    <w:rsid w:val="27E7702C"/>
    <w:rsid w:val="28004A24"/>
    <w:rsid w:val="2823D880"/>
    <w:rsid w:val="2D86B2BF"/>
    <w:rsid w:val="2EF3D2A3"/>
    <w:rsid w:val="2F12BC7C"/>
    <w:rsid w:val="301673D1"/>
    <w:rsid w:val="33E62D9F"/>
    <w:rsid w:val="3451E17F"/>
    <w:rsid w:val="36CFF63B"/>
    <w:rsid w:val="3C4BC38B"/>
    <w:rsid w:val="3D9E27E2"/>
    <w:rsid w:val="412ABC7E"/>
    <w:rsid w:val="42637660"/>
    <w:rsid w:val="45A00F50"/>
    <w:rsid w:val="460E9833"/>
    <w:rsid w:val="473BDFB1"/>
    <w:rsid w:val="4B4FDD3A"/>
    <w:rsid w:val="4C1E3508"/>
    <w:rsid w:val="4CF8B9EC"/>
    <w:rsid w:val="4F3C0239"/>
    <w:rsid w:val="552EE948"/>
    <w:rsid w:val="55D15E4D"/>
    <w:rsid w:val="568BD582"/>
    <w:rsid w:val="5827A5E3"/>
    <w:rsid w:val="5B4FDCCE"/>
    <w:rsid w:val="5ECFE76B"/>
    <w:rsid w:val="5F73FC24"/>
    <w:rsid w:val="61391AF3"/>
    <w:rsid w:val="6296B8F8"/>
    <w:rsid w:val="639BBB77"/>
    <w:rsid w:val="655F7AD4"/>
    <w:rsid w:val="7199B7D4"/>
    <w:rsid w:val="74C5E679"/>
    <w:rsid w:val="7916D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7A21"/>
  <w15:chartTrackingRefBased/>
  <w15:docId w15:val="{6BF828CF-D90E-4ABC-BAA7-4EECCB64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6792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1C8E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B14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B1430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B1430"/>
    <w:rPr>
      <w:rFonts w:eastAsiaTheme="minorEastAsia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B14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B1430"/>
    <w:rPr>
      <w:rFonts w:eastAsiaTheme="minorEastAsia"/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265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6504C"/>
    <w:rPr>
      <w:rFonts w:eastAsiaTheme="minorEastAsia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265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504C"/>
    <w:rPr>
      <w:rFonts w:eastAsiaTheme="minorEastAsia"/>
      <w:sz w:val="20"/>
      <w:szCs w:val="20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h.fi/fi/koulutus-ja-tutkinnot/perusopetuksen-historian-oppiaineen-paattoarvioinnin-tukimateriaal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E56BA-47EE-4811-AA39-126B931CB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D9A17-FB96-4C93-9410-D41375588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E4F76-2397-408D-9EBB-069A29D53E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AA66D6-CD05-4559-ACAA-0EA52D06A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6670</Characters>
  <Application>Microsoft Office Word</Application>
  <DocSecurity>0</DocSecurity>
  <Lines>55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65</cp:revision>
  <dcterms:created xsi:type="dcterms:W3CDTF">2023-05-10T19:18:00Z</dcterms:created>
  <dcterms:modified xsi:type="dcterms:W3CDTF">2024-03-08T09:54:00Z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