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967"/>
        <w:gridCol w:w="1068"/>
        <w:gridCol w:w="3368"/>
        <w:gridCol w:w="2379"/>
        <w:gridCol w:w="3025"/>
        <w:gridCol w:w="2501"/>
      </w:tblGrid>
      <w:tr w:rsidR="00D2380E" w:rsidRPr="00901F2A" w14:paraId="251F1A39" w14:textId="77777777" w:rsidTr="6CFB0A26">
        <w:trPr>
          <w:trHeight w:val="284"/>
        </w:trPr>
        <w:tc>
          <w:tcPr>
            <w:tcW w:w="5000" w:type="pct"/>
            <w:gridSpan w:val="6"/>
            <w:shd w:val="clear" w:color="auto" w:fill="auto"/>
            <w:tcMar>
              <w:top w:w="100" w:type="dxa"/>
              <w:left w:w="100" w:type="dxa"/>
              <w:bottom w:w="100" w:type="dxa"/>
              <w:right w:w="100" w:type="dxa"/>
            </w:tcMar>
          </w:tcPr>
          <w:p w14:paraId="281A5B68" w14:textId="348E6CCA" w:rsidR="00D2380E" w:rsidRPr="00901F2A" w:rsidRDefault="00403560" w:rsidP="00403560">
            <w:pPr>
              <w:spacing w:after="0" w:line="240" w:lineRule="auto"/>
              <w:contextualSpacing/>
              <w:rPr>
                <w:rFonts w:eastAsia="Times New Roman" w:cstheme="minorHAnsi"/>
                <w:sz w:val="22"/>
                <w:szCs w:val="22"/>
              </w:rPr>
            </w:pPr>
            <w:r>
              <w:rPr>
                <w:rFonts w:eastAsia="Times New Roman" w:cstheme="minorHAnsi"/>
                <w:sz w:val="22"/>
                <w:szCs w:val="22"/>
              </w:rPr>
              <w:t>ET 8lk – Arvosana viisi</w:t>
            </w:r>
            <w:r>
              <w:rPr>
                <w:rFonts w:eastAsia="Times New Roman" w:cstheme="minorHAnsi"/>
                <w:b/>
                <w:bCs/>
                <w:sz w:val="22"/>
                <w:szCs w:val="22"/>
              </w:rPr>
              <w:br/>
            </w:r>
            <w:r>
              <w:rPr>
                <w:rFonts w:eastAsia="Times New Roman" w:cstheme="minorHAnsi"/>
                <w:b/>
                <w:bCs/>
                <w:sz w:val="22"/>
                <w:szCs w:val="22"/>
              </w:rPr>
              <w:br/>
            </w:r>
            <w:r w:rsidR="00D2380E" w:rsidRPr="00901F2A">
              <w:rPr>
                <w:rFonts w:eastAsia="Times New Roman" w:cstheme="minorHAnsi"/>
                <w:b/>
                <w:bCs/>
                <w:sz w:val="22"/>
                <w:szCs w:val="22"/>
              </w:rPr>
              <w:t>S1 Katsomus ja kulttuuri:</w:t>
            </w:r>
            <w:r w:rsidR="00D2380E" w:rsidRPr="00901F2A">
              <w:rPr>
                <w:rFonts w:eastAsia="Times New Roman" w:cstheme="minorHAnsi"/>
                <w:sz w:val="22"/>
                <w:szCs w:val="22"/>
              </w:rPr>
              <w:t>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14:paraId="34848D0E" w14:textId="77777777" w:rsidR="005F3CE5" w:rsidRPr="00901F2A" w:rsidRDefault="005F3CE5" w:rsidP="00403560">
            <w:pPr>
              <w:numPr>
                <w:ilvl w:val="0"/>
                <w:numId w:val="2"/>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Oman elämänkatsomuksen ja identiteetin rakentaminen ja ainekset</w:t>
            </w:r>
          </w:p>
          <w:p w14:paraId="4D12C1FD" w14:textId="48652984" w:rsidR="00D2380E" w:rsidRPr="00901F2A" w:rsidRDefault="005F3CE5" w:rsidP="00403560">
            <w:pPr>
              <w:numPr>
                <w:ilvl w:val="0"/>
                <w:numId w:val="2"/>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Kulttuurin ilmeneminen esimerkiksi mediassa ja taiteessa</w:t>
            </w:r>
          </w:p>
          <w:p w14:paraId="5D391344" w14:textId="77777777" w:rsidR="00403560" w:rsidRDefault="00403560" w:rsidP="00403560">
            <w:pPr>
              <w:spacing w:after="0" w:line="240" w:lineRule="auto"/>
              <w:ind w:left="40"/>
              <w:contextualSpacing/>
              <w:rPr>
                <w:rFonts w:eastAsia="Times New Roman" w:cstheme="minorHAnsi"/>
                <w:b/>
                <w:bCs/>
                <w:sz w:val="22"/>
                <w:szCs w:val="22"/>
              </w:rPr>
            </w:pPr>
          </w:p>
          <w:p w14:paraId="163176C1" w14:textId="56F056A6"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b/>
                <w:bCs/>
                <w:sz w:val="22"/>
                <w:szCs w:val="22"/>
              </w:rPr>
              <w:t>S2 Etiikan perusteita:</w:t>
            </w:r>
            <w:r w:rsidRPr="00901F2A">
              <w:rPr>
                <w:rFonts w:eastAsia="Times New Roman" w:cstheme="minorHAnsi"/>
                <w:sz w:val="22"/>
                <w:szCs w:val="22"/>
              </w:rPr>
              <w:t>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14:paraId="41DD7AD8" w14:textId="77777777" w:rsidR="0086765E" w:rsidRPr="00901F2A" w:rsidRDefault="0086765E" w:rsidP="00403560">
            <w:pPr>
              <w:numPr>
                <w:ilvl w:val="0"/>
                <w:numId w:val="3"/>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Teon eettisen arvioinnin näkökulmat, kuten teon tahallisuus, tekijän tarkoitus ja teon seuraukset.</w:t>
            </w:r>
          </w:p>
          <w:p w14:paraId="68BE7FBE" w14:textId="77777777" w:rsidR="0086765E" w:rsidRPr="00901F2A" w:rsidRDefault="0086765E" w:rsidP="00403560">
            <w:pPr>
              <w:numPr>
                <w:ilvl w:val="0"/>
                <w:numId w:val="3"/>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Nuorten arjessa esiintyvien tilanteiden eettinen pohdinta</w:t>
            </w:r>
          </w:p>
          <w:p w14:paraId="6110AAEE" w14:textId="438D3F5F" w:rsidR="00D2380E" w:rsidRPr="00901F2A" w:rsidRDefault="0086765E" w:rsidP="00403560">
            <w:pPr>
              <w:numPr>
                <w:ilvl w:val="0"/>
                <w:numId w:val="3"/>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Sosiaalisessa mediassa ja muissa tiedotusvälineissä esiintyvien ajankohtaisten kysymyksien pohdinta eettisestä näkökulmasta</w:t>
            </w:r>
          </w:p>
          <w:p w14:paraId="62EF6F58" w14:textId="77777777" w:rsidR="00403560" w:rsidRDefault="00403560" w:rsidP="00403560">
            <w:pPr>
              <w:spacing w:after="0" w:line="240" w:lineRule="auto"/>
              <w:contextualSpacing/>
              <w:rPr>
                <w:rFonts w:eastAsia="Times New Roman" w:cstheme="minorHAnsi"/>
                <w:b/>
                <w:bCs/>
                <w:sz w:val="22"/>
                <w:szCs w:val="22"/>
              </w:rPr>
            </w:pPr>
          </w:p>
          <w:p w14:paraId="02A59904" w14:textId="71A5064B"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b/>
                <w:bCs/>
                <w:sz w:val="22"/>
                <w:szCs w:val="22"/>
              </w:rPr>
              <w:t>S3 Ihmisoikeudet ja kestävä tulevaisuus:</w:t>
            </w:r>
            <w:r w:rsidRPr="00901F2A">
              <w:rPr>
                <w:rFonts w:eastAsia="Times New Roman" w:cstheme="minorHAnsi"/>
                <w:sz w:val="22"/>
                <w:szCs w:val="22"/>
              </w:rPr>
              <w:t xml:space="preserve">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00901F2A">
              <w:rPr>
                <w:rFonts w:eastAsia="Times New Roman" w:cstheme="minorHAnsi"/>
                <w:sz w:val="22"/>
                <w:szCs w:val="22"/>
              </w:rPr>
              <w:t>utilistiseen</w:t>
            </w:r>
            <w:proofErr w:type="spellEnd"/>
            <w:r w:rsidRPr="00901F2A">
              <w:rPr>
                <w:rFonts w:eastAsia="Times New Roman" w:cstheme="minorHAnsi"/>
                <w:sz w:val="22"/>
                <w:szCs w:val="22"/>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14:paraId="6F9C353E" w14:textId="77777777" w:rsidR="0086765E" w:rsidRPr="00901F2A" w:rsidRDefault="0086765E" w:rsidP="00403560">
            <w:pPr>
              <w:numPr>
                <w:ilvl w:val="0"/>
                <w:numId w:val="4"/>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Ihmisarvo, ihmisoikeudet ja ihmisoikeusloukkaukset</w:t>
            </w:r>
          </w:p>
          <w:p w14:paraId="0D1CCE32" w14:textId="0B5574A2" w:rsidR="00D2380E" w:rsidRPr="00901F2A" w:rsidRDefault="0086765E" w:rsidP="00403560">
            <w:pPr>
              <w:numPr>
                <w:ilvl w:val="0"/>
                <w:numId w:val="4"/>
              </w:numPr>
              <w:tabs>
                <w:tab w:val="clear" w:pos="720"/>
              </w:tabs>
              <w:spacing w:after="0" w:line="240" w:lineRule="auto"/>
              <w:ind w:left="322" w:hanging="256"/>
              <w:contextualSpacing/>
              <w:rPr>
                <w:rFonts w:eastAsia="Times New Roman" w:cstheme="minorHAnsi"/>
                <w:sz w:val="22"/>
                <w:szCs w:val="22"/>
              </w:rPr>
            </w:pPr>
            <w:r w:rsidRPr="00901F2A">
              <w:rPr>
                <w:rFonts w:eastAsia="Times New Roman" w:cstheme="minorHAnsi"/>
                <w:sz w:val="22"/>
                <w:szCs w:val="22"/>
              </w:rPr>
              <w:t>Luonnon ja yhteiskunnan kestävän tulevaisuuden mahdollisuudet ja oma toiminta sen hyväksi</w:t>
            </w:r>
            <w:r w:rsidR="005E2622">
              <w:rPr>
                <w:rFonts w:eastAsia="Times New Roman" w:cstheme="minorHAnsi"/>
                <w:sz w:val="22"/>
                <w:szCs w:val="22"/>
              </w:rPr>
              <w:br/>
            </w:r>
            <w:r w:rsidR="005E2622">
              <w:rPr>
                <w:rFonts w:eastAsia="Times New Roman" w:cstheme="minorHAnsi"/>
                <w:sz w:val="22"/>
                <w:szCs w:val="22"/>
              </w:rPr>
              <w:br/>
            </w:r>
          </w:p>
        </w:tc>
      </w:tr>
      <w:tr w:rsidR="00D2380E" w:rsidRPr="00901F2A" w14:paraId="5857663F" w14:textId="77777777" w:rsidTr="6CFB0A26">
        <w:trPr>
          <w:trHeight w:val="284"/>
        </w:trPr>
        <w:tc>
          <w:tcPr>
            <w:tcW w:w="5000" w:type="pct"/>
            <w:gridSpan w:val="6"/>
            <w:shd w:val="clear" w:color="auto" w:fill="FFF2CC" w:themeFill="accent4" w:themeFillTint="33"/>
            <w:tcMar>
              <w:top w:w="100" w:type="dxa"/>
              <w:left w:w="100" w:type="dxa"/>
              <w:bottom w:w="100" w:type="dxa"/>
              <w:right w:w="100" w:type="dxa"/>
            </w:tcMar>
          </w:tcPr>
          <w:p w14:paraId="3D42063D" w14:textId="1CC0F7F6" w:rsidR="6DFF9A95" w:rsidRDefault="6DFF9A95" w:rsidP="6CFB0A26">
            <w:pPr>
              <w:spacing w:after="0" w:line="240" w:lineRule="auto"/>
              <w:contextualSpacing/>
              <w:rPr>
                <w:rFonts w:ascii="Calibri" w:eastAsia="Calibri" w:hAnsi="Calibri" w:cs="Calibri"/>
                <w:color w:val="000000" w:themeColor="text1"/>
                <w:sz w:val="22"/>
                <w:szCs w:val="22"/>
              </w:rPr>
            </w:pPr>
            <w:r w:rsidRPr="6CFB0A26">
              <w:rPr>
                <w:rFonts w:ascii="Calibri" w:eastAsia="Calibri" w:hAnsi="Calibri" w:cs="Calibri"/>
                <w:color w:val="000000" w:themeColor="text1"/>
                <w:sz w:val="22"/>
                <w:szCs w:val="22"/>
              </w:rPr>
              <w:t xml:space="preserve">OPH:n tukimateriaali päättöarviointiin: </w:t>
            </w:r>
            <w:hyperlink r:id="rId10">
              <w:r w:rsidR="405EAE69" w:rsidRPr="6CFB0A26">
                <w:rPr>
                  <w:rStyle w:val="Hyperlinkki"/>
                  <w:rFonts w:ascii="Calibri" w:eastAsia="Calibri" w:hAnsi="Calibri" w:cs="Calibri"/>
                  <w:sz w:val="22"/>
                  <w:szCs w:val="22"/>
                </w:rPr>
                <w:t>https://www.oph.fi/fi/koulutus-ja-tutkinnot/elamankatsomustiedon-paattoarviointi</w:t>
              </w:r>
            </w:hyperlink>
            <w:r w:rsidR="405EAE69" w:rsidRPr="6CFB0A26">
              <w:rPr>
                <w:rFonts w:ascii="Calibri" w:eastAsia="Calibri" w:hAnsi="Calibri" w:cs="Calibri"/>
                <w:color w:val="000000" w:themeColor="text1"/>
                <w:sz w:val="22"/>
                <w:szCs w:val="22"/>
              </w:rPr>
              <w:t xml:space="preserve"> </w:t>
            </w:r>
          </w:p>
          <w:p w14:paraId="0D9109DC" w14:textId="42582C4B" w:rsidR="0035323D" w:rsidRDefault="005E2622" w:rsidP="6CFB0A26">
            <w:pPr>
              <w:spacing w:after="0" w:line="240" w:lineRule="auto"/>
              <w:contextualSpacing/>
              <w:rPr>
                <w:rFonts w:ascii="Calibri" w:eastAsia="Calibri" w:hAnsi="Calibri" w:cs="Calibri"/>
                <w:sz w:val="22"/>
                <w:szCs w:val="22"/>
              </w:rPr>
            </w:pPr>
            <w:r w:rsidRPr="005E2622">
              <w:rPr>
                <w:rFonts w:ascii="Calibri" w:eastAsia="Calibri" w:hAnsi="Calibri" w:cs="Calibri"/>
                <w:sz w:val="22"/>
                <w:szCs w:val="22"/>
              </w:rPr>
              <w:t xml:space="preserve">Tavoite T10 arvioidaan ainoastaan vuosiluokilla 7 ja 8 Jyväskylän </w:t>
            </w:r>
            <w:proofErr w:type="spellStart"/>
            <w:r w:rsidRPr="005E2622">
              <w:rPr>
                <w:rFonts w:ascii="Calibri" w:eastAsia="Calibri" w:hAnsi="Calibri" w:cs="Calibri"/>
                <w:sz w:val="22"/>
                <w:szCs w:val="22"/>
              </w:rPr>
              <w:t>vuosiluokkaistamisten</w:t>
            </w:r>
            <w:proofErr w:type="spellEnd"/>
            <w:r w:rsidRPr="005E2622">
              <w:rPr>
                <w:rFonts w:ascii="Calibri" w:eastAsia="Calibri" w:hAnsi="Calibri" w:cs="Calibri"/>
                <w:sz w:val="22"/>
                <w:szCs w:val="22"/>
              </w:rPr>
              <w:t xml:space="preserve"> mukaisesti.</w:t>
            </w:r>
          </w:p>
          <w:p w14:paraId="4DDFE8F0" w14:textId="77837A51" w:rsidR="6CFB0A26" w:rsidRDefault="6CFB0A26" w:rsidP="6CFB0A26">
            <w:pPr>
              <w:spacing w:after="0" w:line="240" w:lineRule="auto"/>
              <w:contextualSpacing/>
              <w:rPr>
                <w:rFonts w:eastAsia="Times New Roman"/>
                <w:sz w:val="22"/>
                <w:szCs w:val="22"/>
              </w:rPr>
            </w:pPr>
          </w:p>
          <w:p w14:paraId="51C70D9E" w14:textId="77777777" w:rsidR="00566D84" w:rsidRPr="00901F2A" w:rsidRDefault="00566D84" w:rsidP="00403560">
            <w:pPr>
              <w:spacing w:after="0" w:line="240" w:lineRule="auto"/>
              <w:contextualSpacing/>
              <w:rPr>
                <w:rFonts w:eastAsia="Times New Roman" w:cstheme="minorHAnsi"/>
                <w:sz w:val="22"/>
                <w:szCs w:val="22"/>
              </w:rPr>
            </w:pPr>
            <w:r w:rsidRPr="00901F2A">
              <w:rPr>
                <w:rFonts w:eastAsia="Times New Roman" w:cstheme="minorHAnsi"/>
                <w:sz w:val="22"/>
                <w:szCs w:val="22"/>
              </w:rPr>
              <w:t xml:space="preserve">Tavoitteet mahdollistavat oppiaineen suorittamisen tiedonhakuun keskittyvällä projekti- tai portfoliotehtävällä. Portfoliomallista tehtävää voi hyödyntää läpi yläluokkien et-opetuksen. Päättöarvioinnin osaamisen kuvaukset sisältävät tarvittavat käsiteltävät teemat. </w:t>
            </w:r>
          </w:p>
          <w:p w14:paraId="5C625A17" w14:textId="77777777" w:rsidR="00566D84" w:rsidRPr="00901F2A" w:rsidRDefault="00566D84" w:rsidP="00403560">
            <w:pPr>
              <w:spacing w:after="0" w:line="240" w:lineRule="auto"/>
              <w:ind w:left="40"/>
              <w:contextualSpacing/>
              <w:rPr>
                <w:rFonts w:eastAsia="Times New Roman" w:cstheme="minorHAnsi"/>
                <w:sz w:val="22"/>
                <w:szCs w:val="22"/>
              </w:rPr>
            </w:pPr>
          </w:p>
          <w:p w14:paraId="2707265C" w14:textId="44270038" w:rsidR="00D2380E" w:rsidRPr="00901F2A" w:rsidRDefault="00566D84" w:rsidP="00403560">
            <w:pPr>
              <w:spacing w:after="0" w:line="240" w:lineRule="auto"/>
              <w:contextualSpacing/>
              <w:rPr>
                <w:rFonts w:eastAsia="Times New Roman" w:cstheme="minorHAnsi"/>
                <w:b/>
                <w:bCs/>
                <w:sz w:val="22"/>
                <w:szCs w:val="22"/>
              </w:rPr>
            </w:pPr>
            <w:r w:rsidRPr="00901F2A">
              <w:rPr>
                <w:rFonts w:eastAsia="Times New Roman" w:cstheme="minorHAnsi"/>
                <w:sz w:val="22"/>
                <w:szCs w:val="22"/>
              </w:rPr>
              <w:t>Opetuksen elävöittämisessä on hyvä hyödyntää videoiden, dokumenttien, podcastien ja uutisten tuomia mahdollisuuksia. Myös draamakasvatuksellinen työskentely sopii aineen teemoihin ja syventää sisältöjä. Huomioi esim. Ylen tarjoamat ilmaismateriaalit Yle Areenassa ja Yle Tripletissä.</w:t>
            </w:r>
          </w:p>
        </w:tc>
      </w:tr>
      <w:tr w:rsidR="00D2380E" w:rsidRPr="00901F2A" w14:paraId="590CE420" w14:textId="5F48FB94" w:rsidTr="6CFB0A26">
        <w:trPr>
          <w:trHeight w:val="284"/>
        </w:trPr>
        <w:tc>
          <w:tcPr>
            <w:tcW w:w="969" w:type="pct"/>
            <w:shd w:val="clear" w:color="auto" w:fill="B4C6E7" w:themeFill="accent1" w:themeFillTint="66"/>
            <w:tcMar>
              <w:top w:w="100" w:type="dxa"/>
              <w:left w:w="100" w:type="dxa"/>
              <w:bottom w:w="100" w:type="dxa"/>
              <w:right w:w="100" w:type="dxa"/>
            </w:tcMar>
            <w:hideMark/>
          </w:tcPr>
          <w:p w14:paraId="3B8D955A" w14:textId="77777777"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eastAsia="Times New Roman" w:cstheme="minorHAnsi"/>
                <w:b/>
                <w:bCs/>
                <w:sz w:val="22"/>
                <w:szCs w:val="22"/>
              </w:rPr>
              <w:lastRenderedPageBreak/>
              <w:t>Opetuksen tavoite</w:t>
            </w:r>
          </w:p>
          <w:p w14:paraId="41A763FA" w14:textId="77777777" w:rsidR="00D2380E" w:rsidRPr="00901F2A" w:rsidRDefault="00D2380E" w:rsidP="00403560">
            <w:pPr>
              <w:spacing w:after="0" w:line="240" w:lineRule="auto"/>
              <w:ind w:left="40"/>
              <w:contextualSpacing/>
              <w:rPr>
                <w:rFonts w:eastAsia="Times New Roman" w:cstheme="minorHAnsi"/>
                <w:b/>
                <w:bCs/>
                <w:sz w:val="22"/>
                <w:szCs w:val="22"/>
              </w:rPr>
            </w:pPr>
          </w:p>
        </w:tc>
        <w:tc>
          <w:tcPr>
            <w:tcW w:w="349" w:type="pct"/>
            <w:shd w:val="clear" w:color="auto" w:fill="B4C6E7" w:themeFill="accent1" w:themeFillTint="66"/>
            <w:tcMar>
              <w:top w:w="100" w:type="dxa"/>
              <w:left w:w="100" w:type="dxa"/>
              <w:bottom w:w="100" w:type="dxa"/>
              <w:right w:w="100" w:type="dxa"/>
            </w:tcMar>
            <w:hideMark/>
          </w:tcPr>
          <w:p w14:paraId="4DB35632" w14:textId="5C21959C"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eastAsia="Times New Roman" w:cstheme="minorHAnsi"/>
                <w:b/>
                <w:bCs/>
                <w:sz w:val="22"/>
                <w:szCs w:val="22"/>
              </w:rPr>
              <w:t>Sisältö-alueet</w:t>
            </w:r>
          </w:p>
        </w:tc>
        <w:tc>
          <w:tcPr>
            <w:tcW w:w="1100" w:type="pct"/>
            <w:shd w:val="clear" w:color="auto" w:fill="B4C6E7" w:themeFill="accent1" w:themeFillTint="66"/>
            <w:tcMar>
              <w:top w:w="100" w:type="dxa"/>
              <w:left w:w="100" w:type="dxa"/>
              <w:bottom w:w="100" w:type="dxa"/>
              <w:right w:w="100" w:type="dxa"/>
            </w:tcMar>
            <w:hideMark/>
          </w:tcPr>
          <w:p w14:paraId="73FE96F9" w14:textId="77777777"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cstheme="minorHAnsi"/>
                <w:b/>
                <w:sz w:val="22"/>
                <w:szCs w:val="22"/>
              </w:rPr>
              <w:t>Opetuksen tavoitteista johdetut oppimisen tavoitteet</w:t>
            </w:r>
          </w:p>
        </w:tc>
        <w:tc>
          <w:tcPr>
            <w:tcW w:w="777" w:type="pct"/>
            <w:shd w:val="clear" w:color="auto" w:fill="B4C6E7" w:themeFill="accent1" w:themeFillTint="66"/>
          </w:tcPr>
          <w:p w14:paraId="08F2D45C" w14:textId="77777777"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eastAsia="Times New Roman" w:cstheme="minorHAnsi"/>
                <w:b/>
                <w:bCs/>
                <w:sz w:val="22"/>
                <w:szCs w:val="22"/>
              </w:rPr>
              <w:t xml:space="preserve">Arvioinnin kohde </w:t>
            </w:r>
          </w:p>
        </w:tc>
        <w:tc>
          <w:tcPr>
            <w:tcW w:w="988" w:type="pct"/>
            <w:shd w:val="clear" w:color="auto" w:fill="B4C6E7" w:themeFill="accent1" w:themeFillTint="66"/>
            <w:tcMar>
              <w:top w:w="100" w:type="dxa"/>
              <w:left w:w="100" w:type="dxa"/>
              <w:bottom w:w="100" w:type="dxa"/>
              <w:right w:w="100" w:type="dxa"/>
            </w:tcMar>
            <w:hideMark/>
          </w:tcPr>
          <w:p w14:paraId="66C9714F" w14:textId="77777777"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eastAsia="Times New Roman" w:cstheme="minorHAnsi"/>
                <w:b/>
                <w:bCs/>
                <w:sz w:val="22"/>
                <w:szCs w:val="22"/>
              </w:rPr>
              <w:t xml:space="preserve">Osaamisen kuvaus arvosanalle 5 </w:t>
            </w:r>
          </w:p>
        </w:tc>
        <w:tc>
          <w:tcPr>
            <w:tcW w:w="817" w:type="pct"/>
            <w:shd w:val="clear" w:color="auto" w:fill="B4C6E7" w:themeFill="accent1" w:themeFillTint="66"/>
          </w:tcPr>
          <w:p w14:paraId="0DE85434" w14:textId="746A51A5" w:rsidR="00D2380E" w:rsidRPr="00901F2A" w:rsidRDefault="00D2380E" w:rsidP="00403560">
            <w:pPr>
              <w:spacing w:after="0" w:line="240" w:lineRule="auto"/>
              <w:ind w:left="40"/>
              <w:contextualSpacing/>
              <w:rPr>
                <w:rFonts w:eastAsia="Times New Roman" w:cstheme="minorHAnsi"/>
                <w:b/>
                <w:bCs/>
                <w:sz w:val="22"/>
                <w:szCs w:val="22"/>
              </w:rPr>
            </w:pPr>
            <w:r w:rsidRPr="00901F2A">
              <w:rPr>
                <w:rFonts w:eastAsia="Times New Roman" w:cstheme="minorHAnsi"/>
                <w:b/>
                <w:bCs/>
                <w:sz w:val="22"/>
                <w:szCs w:val="22"/>
              </w:rPr>
              <w:t>Käytännönläheisiä esimerkkejä</w:t>
            </w:r>
          </w:p>
        </w:tc>
      </w:tr>
      <w:tr w:rsidR="00D2380E" w:rsidRPr="00901F2A" w14:paraId="4CD6B218" w14:textId="24F316E6" w:rsidTr="6CFB0A26">
        <w:trPr>
          <w:trHeight w:val="284"/>
        </w:trPr>
        <w:tc>
          <w:tcPr>
            <w:tcW w:w="969" w:type="pct"/>
            <w:tcMar>
              <w:top w:w="100" w:type="dxa"/>
              <w:left w:w="100" w:type="dxa"/>
              <w:bottom w:w="100" w:type="dxa"/>
              <w:right w:w="100" w:type="dxa"/>
            </w:tcMar>
            <w:hideMark/>
          </w:tcPr>
          <w:p w14:paraId="5E988633"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T1 ohjata oppilasta tunnistamaan, ymmärtämään ja käyttämään katsomuksellisia käsitteitä</w:t>
            </w:r>
          </w:p>
        </w:tc>
        <w:tc>
          <w:tcPr>
            <w:tcW w:w="349" w:type="pct"/>
            <w:tcMar>
              <w:top w:w="100" w:type="dxa"/>
              <w:left w:w="100" w:type="dxa"/>
              <w:bottom w:w="100" w:type="dxa"/>
              <w:right w:w="100" w:type="dxa"/>
            </w:tcMar>
            <w:hideMark/>
          </w:tcPr>
          <w:p w14:paraId="1C6145EB"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S1</w:t>
            </w:r>
          </w:p>
          <w:p w14:paraId="5AC417B8" w14:textId="77777777" w:rsidR="00D2380E" w:rsidRPr="00901F2A" w:rsidRDefault="00D2380E" w:rsidP="00403560">
            <w:pPr>
              <w:spacing w:after="0" w:line="240" w:lineRule="auto"/>
              <w:contextualSpacing/>
              <w:rPr>
                <w:rFonts w:eastAsia="Times New Roman" w:cstheme="minorHAnsi"/>
                <w:sz w:val="22"/>
                <w:szCs w:val="22"/>
              </w:rPr>
            </w:pPr>
          </w:p>
        </w:tc>
        <w:tc>
          <w:tcPr>
            <w:tcW w:w="1100" w:type="pct"/>
            <w:tcMar>
              <w:top w:w="100" w:type="dxa"/>
              <w:left w:w="100" w:type="dxa"/>
              <w:bottom w:w="100" w:type="dxa"/>
              <w:right w:w="100" w:type="dxa"/>
            </w:tcMar>
            <w:hideMark/>
          </w:tcPr>
          <w:p w14:paraId="2FCED565"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Oppilas oppii tunnistamaan, ymmärtämään ja käyttämään katsomuksellisia käsitteitä.</w:t>
            </w:r>
          </w:p>
        </w:tc>
        <w:tc>
          <w:tcPr>
            <w:tcW w:w="777" w:type="pct"/>
          </w:tcPr>
          <w:p w14:paraId="2CDD5E95"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Käsitteiden hallinta ja soveltaminen</w:t>
            </w:r>
          </w:p>
        </w:tc>
        <w:tc>
          <w:tcPr>
            <w:tcW w:w="988" w:type="pct"/>
            <w:tcMar>
              <w:top w:w="100" w:type="dxa"/>
              <w:left w:w="100" w:type="dxa"/>
              <w:bottom w:w="100" w:type="dxa"/>
              <w:right w:w="100" w:type="dxa"/>
            </w:tcMar>
            <w:hideMark/>
          </w:tcPr>
          <w:p w14:paraId="43823A45"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Oppilas tunnistaa joitakin katsomuksellisia käsitteitä (kuten elämänkatsomus, uskonto, uskonnottomuus).</w:t>
            </w:r>
          </w:p>
          <w:p w14:paraId="76022F1F" w14:textId="77777777" w:rsidR="00D2380E" w:rsidRPr="00901F2A" w:rsidRDefault="00D2380E" w:rsidP="00403560">
            <w:pPr>
              <w:spacing w:after="0" w:line="240" w:lineRule="auto"/>
              <w:contextualSpacing/>
              <w:rPr>
                <w:rFonts w:eastAsia="Times New Roman" w:cstheme="minorHAnsi"/>
                <w:sz w:val="22"/>
                <w:szCs w:val="22"/>
              </w:rPr>
            </w:pPr>
          </w:p>
        </w:tc>
        <w:tc>
          <w:tcPr>
            <w:tcW w:w="817" w:type="pct"/>
          </w:tcPr>
          <w:p w14:paraId="31A970AC" w14:textId="77777777" w:rsidR="00403560" w:rsidRPr="00403560" w:rsidRDefault="00403560" w:rsidP="00403560">
            <w:pPr>
              <w:spacing w:after="0" w:line="240" w:lineRule="auto"/>
              <w:ind w:left="40"/>
              <w:contextualSpacing/>
              <w:rPr>
                <w:rFonts w:eastAsia="Times New Roman" w:cstheme="minorHAnsi"/>
                <w:sz w:val="22"/>
                <w:szCs w:val="22"/>
              </w:rPr>
            </w:pPr>
            <w:r w:rsidRPr="00403560">
              <w:rPr>
                <w:rFonts w:eastAsia="Times New Roman" w:cstheme="minorHAnsi"/>
                <w:sz w:val="22"/>
                <w:szCs w:val="22"/>
              </w:rPr>
              <w:t>Ks. Osaamisen kuvaus arvosanalle 5 ja keltaisella</w:t>
            </w:r>
          </w:p>
          <w:p w14:paraId="1CC23E63" w14:textId="4C544B3A" w:rsidR="00D2380E" w:rsidRPr="00901F2A" w:rsidRDefault="00403560" w:rsidP="00403560">
            <w:pPr>
              <w:spacing w:after="0" w:line="240" w:lineRule="auto"/>
              <w:ind w:left="40"/>
              <w:contextualSpacing/>
              <w:rPr>
                <w:rFonts w:eastAsia="Times New Roman" w:cstheme="minorHAnsi"/>
                <w:sz w:val="22"/>
                <w:szCs w:val="22"/>
              </w:rPr>
            </w:pPr>
            <w:r w:rsidRPr="00403560">
              <w:rPr>
                <w:rFonts w:eastAsia="Times New Roman" w:cstheme="minorHAnsi"/>
                <w:sz w:val="22"/>
                <w:szCs w:val="22"/>
              </w:rPr>
              <w:t>pohjalla oleva laatikko.</w:t>
            </w:r>
          </w:p>
        </w:tc>
      </w:tr>
      <w:tr w:rsidR="00D2380E" w:rsidRPr="00901F2A" w14:paraId="70651A88" w14:textId="7CFD6604" w:rsidTr="6CFB0A26">
        <w:trPr>
          <w:trHeight w:val="284"/>
        </w:trPr>
        <w:tc>
          <w:tcPr>
            <w:tcW w:w="969" w:type="pct"/>
            <w:tcMar>
              <w:top w:w="100" w:type="dxa"/>
              <w:left w:w="100" w:type="dxa"/>
              <w:bottom w:w="100" w:type="dxa"/>
              <w:right w:w="100" w:type="dxa"/>
            </w:tcMar>
            <w:hideMark/>
          </w:tcPr>
          <w:p w14:paraId="440DC61E"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T5 ohjata oppilasta tuntemaan katsomusvapaus ihmisoikeutena sekä katsomusvapauden turvaamisen kansallisia ja kansainvälisiä keinoja</w:t>
            </w:r>
          </w:p>
        </w:tc>
        <w:tc>
          <w:tcPr>
            <w:tcW w:w="349" w:type="pct"/>
            <w:tcMar>
              <w:top w:w="100" w:type="dxa"/>
              <w:left w:w="100" w:type="dxa"/>
              <w:bottom w:w="100" w:type="dxa"/>
              <w:right w:w="100" w:type="dxa"/>
            </w:tcMar>
            <w:hideMark/>
          </w:tcPr>
          <w:p w14:paraId="5F765233"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S1, S3</w:t>
            </w:r>
          </w:p>
        </w:tc>
        <w:tc>
          <w:tcPr>
            <w:tcW w:w="1100" w:type="pct"/>
            <w:tcMar>
              <w:top w:w="100" w:type="dxa"/>
              <w:left w:w="100" w:type="dxa"/>
              <w:bottom w:w="100" w:type="dxa"/>
              <w:right w:w="100" w:type="dxa"/>
            </w:tcMar>
            <w:hideMark/>
          </w:tcPr>
          <w:p w14:paraId="593C5E8B"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 xml:space="preserve">Oppilas oppii ymmärtämään katsomusvapauden ihmisoikeutena sekä perehtyy katsomusvapauden turvaamisen kansallisiin ja kansainvälisiin keinoihin </w:t>
            </w:r>
          </w:p>
        </w:tc>
        <w:tc>
          <w:tcPr>
            <w:tcW w:w="777" w:type="pct"/>
          </w:tcPr>
          <w:p w14:paraId="7C03E989"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Katsomusvapauden merkityksen hahmottaminen</w:t>
            </w:r>
          </w:p>
        </w:tc>
        <w:tc>
          <w:tcPr>
            <w:tcW w:w="988" w:type="pct"/>
            <w:tcMar>
              <w:top w:w="100" w:type="dxa"/>
              <w:left w:w="100" w:type="dxa"/>
              <w:bottom w:w="100" w:type="dxa"/>
              <w:right w:w="100" w:type="dxa"/>
            </w:tcMar>
            <w:hideMark/>
          </w:tcPr>
          <w:p w14:paraId="3D233451"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osaa antaa esimerkin </w:t>
            </w:r>
          </w:p>
          <w:p w14:paraId="0A9AD189"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katsomusvapaudesta. </w:t>
            </w:r>
          </w:p>
        </w:tc>
        <w:tc>
          <w:tcPr>
            <w:tcW w:w="817" w:type="pct"/>
          </w:tcPr>
          <w:p w14:paraId="203F90E1" w14:textId="77777777" w:rsidR="00D2380E" w:rsidRPr="00901F2A" w:rsidRDefault="00D2380E" w:rsidP="00403560">
            <w:pPr>
              <w:spacing w:after="0" w:line="240" w:lineRule="auto"/>
              <w:contextualSpacing/>
              <w:rPr>
                <w:rFonts w:eastAsia="Times New Roman" w:cstheme="minorHAnsi"/>
                <w:sz w:val="22"/>
                <w:szCs w:val="22"/>
              </w:rPr>
            </w:pPr>
          </w:p>
        </w:tc>
      </w:tr>
      <w:tr w:rsidR="00D2380E" w:rsidRPr="00901F2A" w14:paraId="26FA68EC" w14:textId="41A5D118" w:rsidTr="6CFB0A26">
        <w:trPr>
          <w:trHeight w:val="1159"/>
        </w:trPr>
        <w:tc>
          <w:tcPr>
            <w:tcW w:w="969" w:type="pct"/>
            <w:tcMar>
              <w:top w:w="100" w:type="dxa"/>
              <w:left w:w="100" w:type="dxa"/>
              <w:bottom w:w="100" w:type="dxa"/>
              <w:right w:w="100" w:type="dxa"/>
            </w:tcMar>
            <w:hideMark/>
          </w:tcPr>
          <w:p w14:paraId="71B7C239"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T6 ohjata oppilasta hahmottamaan erilaisia katsomuksellisia ratkaisuja sekä niiden taustalla olevia yksilöllisiä ja yhteisöllisiä perusteita </w:t>
            </w:r>
          </w:p>
        </w:tc>
        <w:tc>
          <w:tcPr>
            <w:tcW w:w="349" w:type="pct"/>
            <w:tcMar>
              <w:top w:w="100" w:type="dxa"/>
              <w:left w:w="100" w:type="dxa"/>
              <w:bottom w:w="100" w:type="dxa"/>
              <w:right w:w="100" w:type="dxa"/>
            </w:tcMar>
            <w:hideMark/>
          </w:tcPr>
          <w:p w14:paraId="31A2F76C"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S1, S2, S3</w:t>
            </w:r>
          </w:p>
        </w:tc>
        <w:tc>
          <w:tcPr>
            <w:tcW w:w="1100" w:type="pct"/>
            <w:tcMar>
              <w:top w:w="100" w:type="dxa"/>
              <w:left w:w="100" w:type="dxa"/>
              <w:bottom w:w="100" w:type="dxa"/>
              <w:right w:w="100" w:type="dxa"/>
            </w:tcMar>
            <w:hideMark/>
          </w:tcPr>
          <w:p w14:paraId="53FAC7AB"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oppii hahmottamaan erilaisia katsomuksellisia ratkaisuja sekä niiden taustalla olevia yksilöllisiä ja yhteisöllisiä perusteita</w:t>
            </w:r>
          </w:p>
        </w:tc>
        <w:tc>
          <w:tcPr>
            <w:tcW w:w="777" w:type="pct"/>
          </w:tcPr>
          <w:p w14:paraId="56CAD85E"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Katsomuksellisten valintojen perusteiden tarkastelu</w:t>
            </w:r>
          </w:p>
        </w:tc>
        <w:tc>
          <w:tcPr>
            <w:tcW w:w="988" w:type="pct"/>
            <w:tcMar>
              <w:top w:w="100" w:type="dxa"/>
              <w:left w:w="100" w:type="dxa"/>
              <w:bottom w:w="100" w:type="dxa"/>
              <w:right w:w="100" w:type="dxa"/>
            </w:tcMar>
            <w:hideMark/>
          </w:tcPr>
          <w:p w14:paraId="3EDB618B"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 xml:space="preserve">Oppilas osaa kuvata jonkin katsomuksellisen ratkaisun ja ohjatusti nimetä jonkin siihen liittyvän perusteen </w:t>
            </w:r>
          </w:p>
          <w:p w14:paraId="0139F1B5"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(kuten se, ettei ihminen käytä lentokonetta eettisistä syistä).</w:t>
            </w:r>
          </w:p>
        </w:tc>
        <w:tc>
          <w:tcPr>
            <w:tcW w:w="817" w:type="pct"/>
          </w:tcPr>
          <w:p w14:paraId="115358E4" w14:textId="77777777" w:rsidR="00D2380E" w:rsidRPr="00901F2A" w:rsidRDefault="00D2380E" w:rsidP="00403560">
            <w:pPr>
              <w:spacing w:after="0" w:line="240" w:lineRule="auto"/>
              <w:contextualSpacing/>
              <w:rPr>
                <w:rFonts w:eastAsia="Times New Roman" w:cstheme="minorHAnsi"/>
                <w:sz w:val="22"/>
                <w:szCs w:val="22"/>
              </w:rPr>
            </w:pPr>
          </w:p>
        </w:tc>
      </w:tr>
      <w:tr w:rsidR="00D2380E" w:rsidRPr="00901F2A" w14:paraId="570BE363" w14:textId="4585EE22" w:rsidTr="6CFB0A26">
        <w:trPr>
          <w:trHeight w:val="284"/>
        </w:trPr>
        <w:tc>
          <w:tcPr>
            <w:tcW w:w="969" w:type="pct"/>
            <w:tcMar>
              <w:top w:w="100" w:type="dxa"/>
              <w:left w:w="100" w:type="dxa"/>
              <w:bottom w:w="100" w:type="dxa"/>
              <w:right w:w="100" w:type="dxa"/>
            </w:tcMar>
            <w:hideMark/>
          </w:tcPr>
          <w:p w14:paraId="6F97FA1A"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T7 kannustaa oppilasta maailman moninaisuuden ja kaikkien yhdenvertaisen kohtelun hyväksymiseen ja ymmärtämiseen</w:t>
            </w:r>
          </w:p>
        </w:tc>
        <w:tc>
          <w:tcPr>
            <w:tcW w:w="349" w:type="pct"/>
            <w:tcMar>
              <w:top w:w="100" w:type="dxa"/>
              <w:left w:w="100" w:type="dxa"/>
              <w:bottom w:w="100" w:type="dxa"/>
              <w:right w:w="100" w:type="dxa"/>
            </w:tcMar>
            <w:hideMark/>
          </w:tcPr>
          <w:p w14:paraId="3462B104"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S1, S2, S3</w:t>
            </w:r>
          </w:p>
        </w:tc>
        <w:tc>
          <w:tcPr>
            <w:tcW w:w="1100" w:type="pct"/>
            <w:tcMar>
              <w:top w:w="100" w:type="dxa"/>
              <w:left w:w="100" w:type="dxa"/>
              <w:bottom w:w="100" w:type="dxa"/>
              <w:right w:w="100" w:type="dxa"/>
            </w:tcMar>
            <w:hideMark/>
          </w:tcPr>
          <w:p w14:paraId="492DC889"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oppii hyväksymään ja ymmärtämään maailman moninaisuuden ja kaikkien yhdenvertaisen kohtelun.</w:t>
            </w:r>
          </w:p>
        </w:tc>
        <w:tc>
          <w:tcPr>
            <w:tcW w:w="777" w:type="pct"/>
          </w:tcPr>
          <w:p w14:paraId="7C7300B0" w14:textId="77777777" w:rsidR="00D2380E" w:rsidRPr="00901F2A" w:rsidRDefault="00D2380E" w:rsidP="00403560">
            <w:pPr>
              <w:spacing w:after="0" w:line="240" w:lineRule="auto"/>
              <w:ind w:left="60"/>
              <w:contextualSpacing/>
              <w:rPr>
                <w:rFonts w:eastAsia="Times New Roman" w:cstheme="minorHAnsi"/>
                <w:sz w:val="22"/>
                <w:szCs w:val="22"/>
              </w:rPr>
            </w:pPr>
            <w:r w:rsidRPr="00901F2A">
              <w:rPr>
                <w:rFonts w:eastAsia="Times New Roman" w:cstheme="minorHAnsi"/>
                <w:sz w:val="22"/>
                <w:szCs w:val="22"/>
              </w:rPr>
              <w:t>Monikulttuurisuuden ja yhdenvertaisuuden hahmottaminen</w:t>
            </w:r>
          </w:p>
          <w:p w14:paraId="62EE66BB" w14:textId="77777777" w:rsidR="00D2380E" w:rsidRPr="00901F2A" w:rsidRDefault="00D2380E" w:rsidP="00403560">
            <w:pPr>
              <w:spacing w:after="0" w:line="240" w:lineRule="auto"/>
              <w:contextualSpacing/>
              <w:rPr>
                <w:rFonts w:eastAsia="Times New Roman" w:cstheme="minorHAnsi"/>
                <w:sz w:val="22"/>
                <w:szCs w:val="22"/>
              </w:rPr>
            </w:pPr>
          </w:p>
        </w:tc>
        <w:tc>
          <w:tcPr>
            <w:tcW w:w="988" w:type="pct"/>
            <w:tcMar>
              <w:top w:w="100" w:type="dxa"/>
              <w:left w:w="100" w:type="dxa"/>
              <w:bottom w:w="100" w:type="dxa"/>
              <w:right w:w="100" w:type="dxa"/>
            </w:tcMar>
            <w:hideMark/>
          </w:tcPr>
          <w:p w14:paraId="6EE80B71"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osaa antaa esimerkin maailman moninaisuudesta sekä kaikkien ihmisten yhdenvertaisesta kohtelusta.</w:t>
            </w:r>
          </w:p>
        </w:tc>
        <w:tc>
          <w:tcPr>
            <w:tcW w:w="817" w:type="pct"/>
          </w:tcPr>
          <w:p w14:paraId="3E0D56E2" w14:textId="77777777" w:rsidR="00D2380E" w:rsidRPr="00901F2A" w:rsidRDefault="00D2380E" w:rsidP="00403560">
            <w:pPr>
              <w:spacing w:after="0" w:line="240" w:lineRule="auto"/>
              <w:contextualSpacing/>
              <w:rPr>
                <w:rFonts w:eastAsia="Times New Roman" w:cstheme="minorHAnsi"/>
                <w:sz w:val="22"/>
                <w:szCs w:val="22"/>
              </w:rPr>
            </w:pPr>
          </w:p>
        </w:tc>
      </w:tr>
      <w:tr w:rsidR="00D2380E" w:rsidRPr="00901F2A" w14:paraId="51FB6C6A" w14:textId="20CAEF59" w:rsidTr="6CFB0A26">
        <w:trPr>
          <w:trHeight w:val="284"/>
        </w:trPr>
        <w:tc>
          <w:tcPr>
            <w:tcW w:w="969" w:type="pct"/>
            <w:tcMar>
              <w:top w:w="100" w:type="dxa"/>
              <w:left w:w="100" w:type="dxa"/>
              <w:bottom w:w="100" w:type="dxa"/>
              <w:right w:w="100" w:type="dxa"/>
            </w:tcMar>
            <w:hideMark/>
          </w:tcPr>
          <w:p w14:paraId="7E1F382F"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T8 ohjata oppilasta huomaamaan eettisiä ulottuvuuksia elämästään ja ympäristöstään sekä kehittämään eettistä ajatteluaan </w:t>
            </w:r>
          </w:p>
        </w:tc>
        <w:tc>
          <w:tcPr>
            <w:tcW w:w="349" w:type="pct"/>
            <w:tcMar>
              <w:top w:w="100" w:type="dxa"/>
              <w:left w:w="100" w:type="dxa"/>
              <w:bottom w:w="100" w:type="dxa"/>
              <w:right w:w="100" w:type="dxa"/>
            </w:tcMar>
            <w:hideMark/>
          </w:tcPr>
          <w:p w14:paraId="0EBB6082"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S2, S3</w:t>
            </w:r>
          </w:p>
        </w:tc>
        <w:tc>
          <w:tcPr>
            <w:tcW w:w="1100" w:type="pct"/>
            <w:tcMar>
              <w:top w:w="100" w:type="dxa"/>
              <w:left w:w="100" w:type="dxa"/>
              <w:bottom w:w="100" w:type="dxa"/>
              <w:right w:w="100" w:type="dxa"/>
            </w:tcMar>
            <w:hideMark/>
          </w:tcPr>
          <w:p w14:paraId="45721166"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oppii tunnistamaan eettisiä ulottuvuuksia elämästään ja ympäristöstään sekä kehittää eettistä ajatteluaan. </w:t>
            </w:r>
          </w:p>
        </w:tc>
        <w:tc>
          <w:tcPr>
            <w:tcW w:w="777" w:type="pct"/>
          </w:tcPr>
          <w:p w14:paraId="44125C68"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Eettisen ajattelun taidot</w:t>
            </w:r>
          </w:p>
        </w:tc>
        <w:tc>
          <w:tcPr>
            <w:tcW w:w="988" w:type="pct"/>
            <w:tcMar>
              <w:top w:w="100" w:type="dxa"/>
              <w:left w:w="100" w:type="dxa"/>
              <w:bottom w:w="100" w:type="dxa"/>
              <w:right w:w="100" w:type="dxa"/>
            </w:tcMar>
            <w:hideMark/>
          </w:tcPr>
          <w:p w14:paraId="0F6FE045"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tunnistaa joistain teoista eettisen ulottuvuuden, kuten onko teko oikein, väärin vai ei kumpaakaan.</w:t>
            </w:r>
          </w:p>
        </w:tc>
        <w:tc>
          <w:tcPr>
            <w:tcW w:w="817" w:type="pct"/>
          </w:tcPr>
          <w:p w14:paraId="244CFB9B" w14:textId="77777777" w:rsidR="00D2380E" w:rsidRPr="00901F2A" w:rsidRDefault="00D2380E" w:rsidP="00403560">
            <w:pPr>
              <w:spacing w:after="0" w:line="240" w:lineRule="auto"/>
              <w:contextualSpacing/>
              <w:rPr>
                <w:rFonts w:eastAsia="Times New Roman" w:cstheme="minorHAnsi"/>
                <w:sz w:val="22"/>
                <w:szCs w:val="22"/>
              </w:rPr>
            </w:pPr>
          </w:p>
        </w:tc>
      </w:tr>
      <w:tr w:rsidR="00D2380E" w:rsidRPr="00901F2A" w14:paraId="615808AE" w14:textId="385D2DB8" w:rsidTr="6CFB0A26">
        <w:trPr>
          <w:trHeight w:val="284"/>
        </w:trPr>
        <w:tc>
          <w:tcPr>
            <w:tcW w:w="969" w:type="pct"/>
            <w:tcMar>
              <w:top w:w="100" w:type="dxa"/>
              <w:left w:w="100" w:type="dxa"/>
              <w:bottom w:w="100" w:type="dxa"/>
              <w:right w:w="100" w:type="dxa"/>
            </w:tcMar>
            <w:hideMark/>
          </w:tcPr>
          <w:p w14:paraId="357B04F0"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T9 innostaa oppilasta pohtimaan omien valintojensa vaikutusta kestävään tulevaisuuteen paikallisesti ja globaalisti </w:t>
            </w:r>
          </w:p>
        </w:tc>
        <w:tc>
          <w:tcPr>
            <w:tcW w:w="349" w:type="pct"/>
            <w:tcMar>
              <w:top w:w="100" w:type="dxa"/>
              <w:left w:w="100" w:type="dxa"/>
              <w:bottom w:w="100" w:type="dxa"/>
              <w:right w:w="100" w:type="dxa"/>
            </w:tcMar>
            <w:hideMark/>
          </w:tcPr>
          <w:p w14:paraId="4B792A47"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S1, S2, S3</w:t>
            </w:r>
          </w:p>
        </w:tc>
        <w:tc>
          <w:tcPr>
            <w:tcW w:w="1100" w:type="pct"/>
            <w:tcMar>
              <w:top w:w="100" w:type="dxa"/>
              <w:left w:w="100" w:type="dxa"/>
              <w:bottom w:w="100" w:type="dxa"/>
              <w:right w:w="100" w:type="dxa"/>
            </w:tcMar>
            <w:hideMark/>
          </w:tcPr>
          <w:p w14:paraId="0257BD63"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oppii pohtimaan ja ymmärtämään omien valintojen vaikutusta kestävään tulevaisuuteen paikallisesti ja globaalisti.</w:t>
            </w:r>
          </w:p>
        </w:tc>
        <w:tc>
          <w:tcPr>
            <w:tcW w:w="777" w:type="pct"/>
          </w:tcPr>
          <w:p w14:paraId="7B093F66" w14:textId="77777777" w:rsidR="00D2380E" w:rsidRPr="00901F2A" w:rsidRDefault="00D2380E" w:rsidP="00403560">
            <w:pPr>
              <w:spacing w:after="0" w:line="240" w:lineRule="auto"/>
              <w:ind w:left="60"/>
              <w:contextualSpacing/>
              <w:rPr>
                <w:rFonts w:eastAsia="Times New Roman" w:cstheme="minorHAnsi"/>
                <w:sz w:val="22"/>
                <w:szCs w:val="22"/>
              </w:rPr>
            </w:pPr>
            <w:r w:rsidRPr="00901F2A">
              <w:rPr>
                <w:rFonts w:eastAsia="Times New Roman" w:cstheme="minorHAnsi"/>
                <w:sz w:val="22"/>
                <w:szCs w:val="22"/>
              </w:rPr>
              <w:t>Kestävän elämäntavan periaatteiden tunteminen</w:t>
            </w:r>
          </w:p>
          <w:p w14:paraId="2CD2345A" w14:textId="77777777" w:rsidR="00D2380E" w:rsidRPr="00901F2A" w:rsidRDefault="00D2380E" w:rsidP="00403560">
            <w:pPr>
              <w:spacing w:after="0" w:line="240" w:lineRule="auto"/>
              <w:contextualSpacing/>
              <w:rPr>
                <w:rFonts w:eastAsia="Times New Roman" w:cstheme="minorHAnsi"/>
                <w:sz w:val="22"/>
                <w:szCs w:val="22"/>
              </w:rPr>
            </w:pPr>
          </w:p>
        </w:tc>
        <w:tc>
          <w:tcPr>
            <w:tcW w:w="988" w:type="pct"/>
            <w:tcMar>
              <w:top w:w="100" w:type="dxa"/>
              <w:left w:w="100" w:type="dxa"/>
              <w:bottom w:w="100" w:type="dxa"/>
              <w:right w:w="100" w:type="dxa"/>
            </w:tcMar>
            <w:hideMark/>
          </w:tcPr>
          <w:p w14:paraId="172F3AB0"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 xml:space="preserve">Oppilas tunnistaa jonkin kestävän tulevaisuuden edellytyksen. </w:t>
            </w:r>
          </w:p>
          <w:p w14:paraId="09EB2B30" w14:textId="77777777" w:rsidR="00D2380E" w:rsidRPr="00901F2A" w:rsidRDefault="00D2380E" w:rsidP="00403560">
            <w:pPr>
              <w:spacing w:after="0" w:line="240" w:lineRule="auto"/>
              <w:contextualSpacing/>
              <w:rPr>
                <w:rFonts w:eastAsia="Times New Roman" w:cstheme="minorHAnsi"/>
                <w:sz w:val="22"/>
                <w:szCs w:val="22"/>
              </w:rPr>
            </w:pPr>
          </w:p>
          <w:p w14:paraId="1DE47B39"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lastRenderedPageBreak/>
              <w:t>Oppilas osaa kertoa, että omat teot voivat vaikuttaa tulevaisuuteen. </w:t>
            </w:r>
          </w:p>
        </w:tc>
        <w:tc>
          <w:tcPr>
            <w:tcW w:w="817" w:type="pct"/>
          </w:tcPr>
          <w:p w14:paraId="69AFBF76" w14:textId="77777777" w:rsidR="00D2380E" w:rsidRPr="00901F2A" w:rsidRDefault="00D2380E" w:rsidP="00403560">
            <w:pPr>
              <w:spacing w:after="0" w:line="240" w:lineRule="auto"/>
              <w:contextualSpacing/>
              <w:rPr>
                <w:rFonts w:eastAsia="Times New Roman" w:cstheme="minorHAnsi"/>
                <w:sz w:val="22"/>
                <w:szCs w:val="22"/>
              </w:rPr>
            </w:pPr>
          </w:p>
        </w:tc>
      </w:tr>
      <w:tr w:rsidR="00D2380E" w:rsidRPr="00901F2A" w14:paraId="3E49DA86" w14:textId="165106FC" w:rsidTr="6CFB0A26">
        <w:trPr>
          <w:trHeight w:val="284"/>
        </w:trPr>
        <w:tc>
          <w:tcPr>
            <w:tcW w:w="969" w:type="pct"/>
            <w:tcMar>
              <w:top w:w="100" w:type="dxa"/>
              <w:left w:w="100" w:type="dxa"/>
              <w:bottom w:w="100" w:type="dxa"/>
              <w:right w:w="100" w:type="dxa"/>
            </w:tcMar>
            <w:hideMark/>
          </w:tcPr>
          <w:p w14:paraId="0951E64A"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T10 ohjata oppilas tuntemaan ihmisarvon, ihmisoikeuksien ja ihmisten yhdenvertaisuuden merkitys ja eettinen perusta</w:t>
            </w:r>
          </w:p>
        </w:tc>
        <w:tc>
          <w:tcPr>
            <w:tcW w:w="349" w:type="pct"/>
            <w:tcMar>
              <w:top w:w="100" w:type="dxa"/>
              <w:left w:w="100" w:type="dxa"/>
              <w:bottom w:w="100" w:type="dxa"/>
              <w:right w:w="100" w:type="dxa"/>
            </w:tcMar>
            <w:hideMark/>
          </w:tcPr>
          <w:p w14:paraId="25FC47A7" w14:textId="77777777" w:rsidR="00D2380E" w:rsidRPr="00901F2A" w:rsidRDefault="00D2380E" w:rsidP="00403560">
            <w:pPr>
              <w:spacing w:after="0" w:line="240" w:lineRule="auto"/>
              <w:ind w:left="40"/>
              <w:contextualSpacing/>
              <w:rPr>
                <w:rFonts w:eastAsia="Times New Roman" w:cstheme="minorHAnsi"/>
                <w:sz w:val="22"/>
                <w:szCs w:val="22"/>
              </w:rPr>
            </w:pPr>
            <w:r w:rsidRPr="00901F2A">
              <w:rPr>
                <w:rFonts w:eastAsia="Times New Roman" w:cstheme="minorHAnsi"/>
                <w:sz w:val="22"/>
                <w:szCs w:val="22"/>
              </w:rPr>
              <w:t>S2, S3</w:t>
            </w:r>
          </w:p>
        </w:tc>
        <w:tc>
          <w:tcPr>
            <w:tcW w:w="1100" w:type="pct"/>
            <w:tcMar>
              <w:top w:w="100" w:type="dxa"/>
              <w:left w:w="100" w:type="dxa"/>
              <w:bottom w:w="100" w:type="dxa"/>
              <w:right w:w="100" w:type="dxa"/>
            </w:tcMar>
            <w:hideMark/>
          </w:tcPr>
          <w:p w14:paraId="5A558FEF"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oppii tuntemaan ihmisarvon, ihmisoikeuksien ja ihmisten yhdenvertaisuuden merkityksen ja perustan.</w:t>
            </w:r>
          </w:p>
        </w:tc>
        <w:tc>
          <w:tcPr>
            <w:tcW w:w="777" w:type="pct"/>
          </w:tcPr>
          <w:p w14:paraId="1F7F9B7E"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Ihmisoikeusetiikan tuntemus</w:t>
            </w:r>
          </w:p>
        </w:tc>
        <w:tc>
          <w:tcPr>
            <w:tcW w:w="988" w:type="pct"/>
            <w:tcMar>
              <w:top w:w="100" w:type="dxa"/>
              <w:left w:w="100" w:type="dxa"/>
              <w:bottom w:w="100" w:type="dxa"/>
              <w:right w:w="100" w:type="dxa"/>
            </w:tcMar>
            <w:hideMark/>
          </w:tcPr>
          <w:p w14:paraId="7D7CF82D" w14:textId="77777777" w:rsidR="00D2380E" w:rsidRPr="00901F2A" w:rsidRDefault="00D2380E" w:rsidP="00403560">
            <w:pPr>
              <w:spacing w:after="0" w:line="240" w:lineRule="auto"/>
              <w:contextualSpacing/>
              <w:rPr>
                <w:rFonts w:eastAsia="Times New Roman" w:cstheme="minorHAnsi"/>
                <w:sz w:val="22"/>
                <w:szCs w:val="22"/>
              </w:rPr>
            </w:pPr>
            <w:r w:rsidRPr="00901F2A">
              <w:rPr>
                <w:rFonts w:eastAsia="Times New Roman" w:cstheme="minorHAnsi"/>
                <w:sz w:val="22"/>
                <w:szCs w:val="22"/>
              </w:rPr>
              <w:t>Oppilas osaa kuvailla ihmisarvoon tai ihmisoikeuksiin liittyviä seikkoja. </w:t>
            </w:r>
          </w:p>
        </w:tc>
        <w:tc>
          <w:tcPr>
            <w:tcW w:w="817" w:type="pct"/>
          </w:tcPr>
          <w:p w14:paraId="3D85A15A" w14:textId="77777777" w:rsidR="00D2380E" w:rsidRPr="00901F2A" w:rsidRDefault="00D2380E" w:rsidP="00403560">
            <w:pPr>
              <w:spacing w:after="0" w:line="240" w:lineRule="auto"/>
              <w:contextualSpacing/>
              <w:rPr>
                <w:rFonts w:eastAsia="Times New Roman" w:cstheme="minorHAnsi"/>
                <w:sz w:val="22"/>
                <w:szCs w:val="22"/>
              </w:rPr>
            </w:pPr>
          </w:p>
        </w:tc>
      </w:tr>
    </w:tbl>
    <w:p w14:paraId="662F700A" w14:textId="77777777" w:rsidR="00C7638B" w:rsidRPr="00901F2A" w:rsidRDefault="00C7638B" w:rsidP="00403560">
      <w:pPr>
        <w:spacing w:after="0" w:line="240" w:lineRule="auto"/>
        <w:rPr>
          <w:sz w:val="22"/>
          <w:szCs w:val="22"/>
        </w:rPr>
      </w:pPr>
    </w:p>
    <w:sectPr w:rsidR="00C7638B" w:rsidRPr="00901F2A" w:rsidSect="00901F2A">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8387" w14:textId="77777777" w:rsidR="006F16AD" w:rsidRDefault="00901F2A">
      <w:pPr>
        <w:spacing w:after="0" w:line="240" w:lineRule="auto"/>
      </w:pPr>
      <w:r>
        <w:separator/>
      </w:r>
    </w:p>
  </w:endnote>
  <w:endnote w:type="continuationSeparator" w:id="0">
    <w:p w14:paraId="7E4908F0" w14:textId="77777777" w:rsidR="006F16AD" w:rsidRDefault="0090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0763" w14:textId="77777777" w:rsidR="006F16AD" w:rsidRDefault="00901F2A">
      <w:pPr>
        <w:spacing w:after="0" w:line="240" w:lineRule="auto"/>
      </w:pPr>
      <w:r>
        <w:separator/>
      </w:r>
    </w:p>
  </w:footnote>
  <w:footnote w:type="continuationSeparator" w:id="0">
    <w:p w14:paraId="2732B94B" w14:textId="77777777" w:rsidR="006F16AD" w:rsidRDefault="0090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C729" w14:textId="453C8CBE" w:rsidR="51F4CC81" w:rsidRPr="00492B47" w:rsidRDefault="51F4CC81" w:rsidP="51F4CC81">
    <w:pPr>
      <w:pStyle w:val="Yltunniste"/>
      <w:rPr>
        <w:sz w:val="22"/>
        <w:szCs w:val="22"/>
      </w:rPr>
    </w:pPr>
    <w:r w:rsidRPr="00492B47">
      <w:rPr>
        <w:sz w:val="22"/>
        <w:szCs w:val="22"/>
      </w:rPr>
      <w:fldChar w:fldCharType="begin"/>
    </w:r>
    <w:r w:rsidRPr="00492B47">
      <w:rPr>
        <w:sz w:val="22"/>
        <w:szCs w:val="22"/>
      </w:rPr>
      <w:instrText>PAGE</w:instrText>
    </w:r>
    <w:r w:rsidRPr="00492B47">
      <w:rPr>
        <w:sz w:val="22"/>
        <w:szCs w:val="22"/>
      </w:rPr>
      <w:fldChar w:fldCharType="separate"/>
    </w:r>
    <w:r w:rsidR="00492B47" w:rsidRPr="00492B47">
      <w:rPr>
        <w:noProof/>
        <w:sz w:val="22"/>
        <w:szCs w:val="22"/>
      </w:rPr>
      <w:t>1</w:t>
    </w:r>
    <w:r w:rsidRPr="00492B47">
      <w:rPr>
        <w:sz w:val="22"/>
        <w:szCs w:val="22"/>
      </w:rPr>
      <w:fldChar w:fldCharType="end"/>
    </w:r>
    <w:r w:rsidRPr="00492B47">
      <w:rPr>
        <w:sz w:val="22"/>
        <w:szCs w:val="22"/>
      </w:rPr>
      <w:t xml:space="preserve"> </w:t>
    </w:r>
    <w:r w:rsidR="00E75453">
      <w:rPr>
        <w:sz w:val="22"/>
        <w:szCs w:val="22"/>
      </w:rPr>
      <w:t>–</w:t>
    </w:r>
    <w:r w:rsidR="00901F2A">
      <w:rPr>
        <w:sz w:val="22"/>
        <w:szCs w:val="22"/>
      </w:rPr>
      <w:t xml:space="preserve"> </w:t>
    </w:r>
    <w:r w:rsidRPr="00492B47">
      <w:rPr>
        <w:sz w:val="22"/>
        <w:szCs w:val="22"/>
      </w:rPr>
      <w:t>Elämänkatsomustieto 8lk</w:t>
    </w:r>
    <w:r w:rsidR="00E75453">
      <w:rPr>
        <w:sz w:val="22"/>
        <w:szCs w:val="22"/>
      </w:rPr>
      <w:t xml:space="preserve"> – Arvosana viisi</w:t>
    </w:r>
  </w:p>
  <w:p w14:paraId="7814A93F" w14:textId="343A20B3" w:rsidR="51F4CC81" w:rsidRPr="00492B47" w:rsidRDefault="51F4CC81" w:rsidP="51F4CC81">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0D7D"/>
    <w:multiLevelType w:val="multilevel"/>
    <w:tmpl w:val="62E0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663D2"/>
    <w:multiLevelType w:val="multilevel"/>
    <w:tmpl w:val="5770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526D7"/>
    <w:multiLevelType w:val="multilevel"/>
    <w:tmpl w:val="8BC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25F10"/>
    <w:multiLevelType w:val="multilevel"/>
    <w:tmpl w:val="6A46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944578">
    <w:abstractNumId w:val="3"/>
  </w:num>
  <w:num w:numId="2" w16cid:durableId="1946647386">
    <w:abstractNumId w:val="1"/>
  </w:num>
  <w:num w:numId="3" w16cid:durableId="133454688">
    <w:abstractNumId w:val="2"/>
  </w:num>
  <w:num w:numId="4" w16cid:durableId="211709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35323D"/>
    <w:rsid w:val="00403560"/>
    <w:rsid w:val="00492B47"/>
    <w:rsid w:val="00566D84"/>
    <w:rsid w:val="005E2622"/>
    <w:rsid w:val="005F3CE5"/>
    <w:rsid w:val="006F16AD"/>
    <w:rsid w:val="0086765E"/>
    <w:rsid w:val="00876F3C"/>
    <w:rsid w:val="00901F2A"/>
    <w:rsid w:val="0094496B"/>
    <w:rsid w:val="00C41AC3"/>
    <w:rsid w:val="00C7638B"/>
    <w:rsid w:val="00D2380E"/>
    <w:rsid w:val="00E75453"/>
    <w:rsid w:val="405EAE69"/>
    <w:rsid w:val="51F4CC81"/>
    <w:rsid w:val="522C863A"/>
    <w:rsid w:val="6CFB0A26"/>
    <w:rsid w:val="6DFF9A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96B"/>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099">
      <w:bodyDiv w:val="1"/>
      <w:marLeft w:val="0"/>
      <w:marRight w:val="0"/>
      <w:marTop w:val="0"/>
      <w:marBottom w:val="0"/>
      <w:divBdr>
        <w:top w:val="none" w:sz="0" w:space="0" w:color="auto"/>
        <w:left w:val="none" w:sz="0" w:space="0" w:color="auto"/>
        <w:bottom w:val="none" w:sz="0" w:space="0" w:color="auto"/>
        <w:right w:val="none" w:sz="0" w:space="0" w:color="auto"/>
      </w:divBdr>
    </w:div>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362361373">
      <w:bodyDiv w:val="1"/>
      <w:marLeft w:val="0"/>
      <w:marRight w:val="0"/>
      <w:marTop w:val="0"/>
      <w:marBottom w:val="0"/>
      <w:divBdr>
        <w:top w:val="none" w:sz="0" w:space="0" w:color="auto"/>
        <w:left w:val="none" w:sz="0" w:space="0" w:color="auto"/>
        <w:bottom w:val="none" w:sz="0" w:space="0" w:color="auto"/>
        <w:right w:val="none" w:sz="0" w:space="0" w:color="auto"/>
      </w:divBdr>
    </w:div>
    <w:div w:id="570580602">
      <w:bodyDiv w:val="1"/>
      <w:marLeft w:val="0"/>
      <w:marRight w:val="0"/>
      <w:marTop w:val="0"/>
      <w:marBottom w:val="0"/>
      <w:divBdr>
        <w:top w:val="none" w:sz="0" w:space="0" w:color="auto"/>
        <w:left w:val="none" w:sz="0" w:space="0" w:color="auto"/>
        <w:bottom w:val="none" w:sz="0" w:space="0" w:color="auto"/>
        <w:right w:val="none" w:sz="0" w:space="0" w:color="auto"/>
      </w:divBdr>
    </w:div>
    <w:div w:id="637497724">
      <w:bodyDiv w:val="1"/>
      <w:marLeft w:val="0"/>
      <w:marRight w:val="0"/>
      <w:marTop w:val="0"/>
      <w:marBottom w:val="0"/>
      <w:divBdr>
        <w:top w:val="none" w:sz="0" w:space="0" w:color="auto"/>
        <w:left w:val="none" w:sz="0" w:space="0" w:color="auto"/>
        <w:bottom w:val="none" w:sz="0" w:space="0" w:color="auto"/>
        <w:right w:val="none" w:sz="0" w:space="0" w:color="auto"/>
      </w:divBdr>
    </w:div>
    <w:div w:id="873151271">
      <w:bodyDiv w:val="1"/>
      <w:marLeft w:val="0"/>
      <w:marRight w:val="0"/>
      <w:marTop w:val="0"/>
      <w:marBottom w:val="0"/>
      <w:divBdr>
        <w:top w:val="none" w:sz="0" w:space="0" w:color="auto"/>
        <w:left w:val="none" w:sz="0" w:space="0" w:color="auto"/>
        <w:bottom w:val="none" w:sz="0" w:space="0" w:color="auto"/>
        <w:right w:val="none" w:sz="0" w:space="0" w:color="auto"/>
      </w:divBdr>
    </w:div>
    <w:div w:id="882521546">
      <w:bodyDiv w:val="1"/>
      <w:marLeft w:val="0"/>
      <w:marRight w:val="0"/>
      <w:marTop w:val="0"/>
      <w:marBottom w:val="0"/>
      <w:divBdr>
        <w:top w:val="none" w:sz="0" w:space="0" w:color="auto"/>
        <w:left w:val="none" w:sz="0" w:space="0" w:color="auto"/>
        <w:bottom w:val="none" w:sz="0" w:space="0" w:color="auto"/>
        <w:right w:val="none" w:sz="0" w:space="0" w:color="auto"/>
      </w:divBdr>
    </w:div>
    <w:div w:id="914128628">
      <w:bodyDiv w:val="1"/>
      <w:marLeft w:val="0"/>
      <w:marRight w:val="0"/>
      <w:marTop w:val="0"/>
      <w:marBottom w:val="0"/>
      <w:divBdr>
        <w:top w:val="none" w:sz="0" w:space="0" w:color="auto"/>
        <w:left w:val="none" w:sz="0" w:space="0" w:color="auto"/>
        <w:bottom w:val="none" w:sz="0" w:space="0" w:color="auto"/>
        <w:right w:val="none" w:sz="0" w:space="0" w:color="auto"/>
      </w:divBdr>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 w:id="1427925557">
      <w:bodyDiv w:val="1"/>
      <w:marLeft w:val="0"/>
      <w:marRight w:val="0"/>
      <w:marTop w:val="0"/>
      <w:marBottom w:val="0"/>
      <w:divBdr>
        <w:top w:val="none" w:sz="0" w:space="0" w:color="auto"/>
        <w:left w:val="none" w:sz="0" w:space="0" w:color="auto"/>
        <w:bottom w:val="none" w:sz="0" w:space="0" w:color="auto"/>
        <w:right w:val="none" w:sz="0" w:space="0" w:color="auto"/>
      </w:divBdr>
    </w:div>
    <w:div w:id="1451128162">
      <w:bodyDiv w:val="1"/>
      <w:marLeft w:val="0"/>
      <w:marRight w:val="0"/>
      <w:marTop w:val="0"/>
      <w:marBottom w:val="0"/>
      <w:divBdr>
        <w:top w:val="none" w:sz="0" w:space="0" w:color="auto"/>
        <w:left w:val="none" w:sz="0" w:space="0" w:color="auto"/>
        <w:bottom w:val="none" w:sz="0" w:space="0" w:color="auto"/>
        <w:right w:val="none" w:sz="0" w:space="0" w:color="auto"/>
      </w:divBdr>
    </w:div>
    <w:div w:id="15010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elamankatsomustiedon-paattoarvioint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06230-D7E8-480D-842D-80EE97A9AC7C}">
  <ds:schemaRefs>
    <ds:schemaRef ds:uri="http://schemas.microsoft.com/sharepoint/v3/contenttype/forms"/>
  </ds:schemaRefs>
</ds:datastoreItem>
</file>

<file path=customXml/itemProps2.xml><?xml version="1.0" encoding="utf-8"?>
<ds:datastoreItem xmlns:ds="http://schemas.openxmlformats.org/officeDocument/2006/customXml" ds:itemID="{DF17204E-9084-4297-9788-EEDAF67F2A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customXml/itemProps3.xml><?xml version="1.0" encoding="utf-8"?>
<ds:datastoreItem xmlns:ds="http://schemas.openxmlformats.org/officeDocument/2006/customXml" ds:itemID="{C56B0E92-9BCD-4767-B22F-EEDC80E3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5568</Characters>
  <Application>Microsoft Office Word</Application>
  <DocSecurity>0</DocSecurity>
  <Lines>46</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17</cp:revision>
  <dcterms:created xsi:type="dcterms:W3CDTF">2023-05-03T12:00:00Z</dcterms:created>
  <dcterms:modified xsi:type="dcterms:W3CDTF">2024-03-13T14:12:00Z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