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Look w:val="0600" w:firstRow="0" w:lastRow="0" w:firstColumn="0" w:lastColumn="0" w:noHBand="1" w:noVBand="1"/>
      </w:tblPr>
      <w:tblGrid>
        <w:gridCol w:w="2599"/>
        <w:gridCol w:w="940"/>
        <w:gridCol w:w="3177"/>
        <w:gridCol w:w="2352"/>
        <w:gridCol w:w="2125"/>
        <w:gridCol w:w="3921"/>
      </w:tblGrid>
      <w:tr w:rsidRPr="00631B52" w:rsidR="0094496B" w:rsidTr="59F15E38" w14:paraId="1C6A1C6B" w14:textId="77777777">
        <w:trPr>
          <w:trHeight w:val="284"/>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Pr="00631B52" w:rsidR="0094496B" w:rsidP="00F00383" w:rsidRDefault="00F00383" w14:paraId="76817D1B" w14:textId="7617C60A">
            <w:pPr>
              <w:spacing w:after="0" w:line="240" w:lineRule="auto"/>
              <w:contextualSpacing/>
              <w:rPr>
                <w:rFonts w:cstheme="minorHAnsi"/>
                <w:sz w:val="22"/>
                <w:szCs w:val="22"/>
              </w:rPr>
            </w:pPr>
            <w:r>
              <w:rPr>
                <w:rFonts w:cstheme="minorHAnsi"/>
                <w:sz w:val="22"/>
                <w:szCs w:val="22"/>
              </w:rPr>
              <w:t>UE 9lk – Arvosana viisi</w:t>
            </w:r>
            <w:r>
              <w:rPr>
                <w:rFonts w:cstheme="minorHAnsi"/>
                <w:b/>
                <w:bCs/>
                <w:sz w:val="22"/>
                <w:szCs w:val="22"/>
              </w:rPr>
              <w:br/>
            </w:r>
            <w:r>
              <w:rPr>
                <w:rFonts w:cstheme="minorHAnsi"/>
                <w:b/>
                <w:bCs/>
                <w:sz w:val="22"/>
                <w:szCs w:val="22"/>
              </w:rPr>
              <w:br/>
            </w:r>
            <w:r w:rsidRPr="00631B52" w:rsidR="0094496B">
              <w:rPr>
                <w:rFonts w:cstheme="minorHAnsi"/>
                <w:b/>
                <w:bCs/>
                <w:sz w:val="22"/>
                <w:szCs w:val="22"/>
              </w:rPr>
              <w:t>S3 Hyvä elämä</w:t>
            </w:r>
            <w:r w:rsidRPr="00631B52" w:rsidR="0094496B">
              <w:rPr>
                <w:rFonts w:cstheme="minorHAnsi"/>
                <w:sz w:val="22"/>
                <w:szCs w:val="22"/>
              </w:rPr>
              <w:t>: Valittavien sisältöjen tulee avata elämänkysymyksiä ja ikäkauteen sekä minäkuvaan liittyviä pohdintoja. Opetuksessa käsitellään ajankohtaisia ja yhteiskunnallisia eettisiä kysymyksiä kuten ekososiaalinen sivistys, osallistuminen ja vaikuttaminen yhteisöissä ja yhteiskunnassa sekä uskonnot rakentamassa yhteiskunta- ja maailmanrauhaa. Sisällöissä tulee korostua opiskeltavan uskonnon etiikka ja muiden uskontojen ja katsomusten etiikka sekä YK:n Ihmisoikeuksien yleismaailmallinen julistus. Tarkastelun kohteena ovat myös ihmisoikeuksien loukkaukset kuten holokausti. Sisältöjen valinnassa huomioidaan uskonnon ja katsomuksellisten kysymysten merkitys ihmisenä kasvamisessa.</w:t>
            </w:r>
          </w:p>
          <w:p w:rsidRPr="00631B52" w:rsidR="00631B52" w:rsidP="00F00383" w:rsidRDefault="00631B52" w14:paraId="74EF01FD" w14:textId="77777777">
            <w:pPr>
              <w:numPr>
                <w:ilvl w:val="0"/>
                <w:numId w:val="2"/>
              </w:numPr>
              <w:tabs>
                <w:tab w:val="clear" w:pos="720"/>
              </w:tabs>
              <w:spacing w:after="0" w:line="240" w:lineRule="auto"/>
              <w:ind w:left="321" w:hanging="258"/>
              <w:contextualSpacing/>
              <w:rPr>
                <w:rFonts w:cstheme="minorHAnsi"/>
                <w:bCs/>
                <w:sz w:val="22"/>
                <w:szCs w:val="22"/>
              </w:rPr>
            </w:pPr>
            <w:r w:rsidRPr="00631B52">
              <w:rPr>
                <w:rFonts w:cstheme="minorHAnsi"/>
                <w:bCs/>
                <w:sz w:val="22"/>
                <w:szCs w:val="22"/>
              </w:rPr>
              <w:t>Etiikan peruskäsitteet</w:t>
            </w:r>
          </w:p>
          <w:p w:rsidRPr="00631B52" w:rsidR="00631B52" w:rsidP="00F00383" w:rsidRDefault="00631B52" w14:paraId="102C482A" w14:textId="77777777">
            <w:pPr>
              <w:numPr>
                <w:ilvl w:val="0"/>
                <w:numId w:val="2"/>
              </w:numPr>
              <w:tabs>
                <w:tab w:val="clear" w:pos="720"/>
              </w:tabs>
              <w:spacing w:after="0" w:line="240" w:lineRule="auto"/>
              <w:ind w:left="321" w:hanging="258"/>
              <w:contextualSpacing/>
              <w:rPr>
                <w:rFonts w:cstheme="minorHAnsi"/>
                <w:bCs/>
                <w:sz w:val="22"/>
                <w:szCs w:val="22"/>
              </w:rPr>
            </w:pPr>
            <w:r w:rsidRPr="00631B52">
              <w:rPr>
                <w:rFonts w:cstheme="minorHAnsi"/>
                <w:bCs/>
                <w:sz w:val="22"/>
                <w:szCs w:val="22"/>
              </w:rPr>
              <w:t>Kristinuskon ja muiden uskontojen eettinen opetus</w:t>
            </w:r>
          </w:p>
          <w:p w:rsidRPr="00631B52" w:rsidR="00631B52" w:rsidP="00F00383" w:rsidRDefault="00631B52" w14:paraId="0DD9337A" w14:textId="77777777">
            <w:pPr>
              <w:numPr>
                <w:ilvl w:val="0"/>
                <w:numId w:val="2"/>
              </w:numPr>
              <w:tabs>
                <w:tab w:val="clear" w:pos="720"/>
              </w:tabs>
              <w:spacing w:after="0" w:line="240" w:lineRule="auto"/>
              <w:ind w:left="321" w:hanging="258"/>
              <w:contextualSpacing/>
              <w:rPr>
                <w:rFonts w:cstheme="minorHAnsi"/>
                <w:bCs/>
                <w:sz w:val="22"/>
                <w:szCs w:val="22"/>
              </w:rPr>
            </w:pPr>
            <w:r w:rsidRPr="00631B52">
              <w:rPr>
                <w:rFonts w:cstheme="minorHAnsi"/>
                <w:bCs/>
                <w:sz w:val="22"/>
                <w:szCs w:val="22"/>
              </w:rPr>
              <w:t>kirkkokuntien eettiset painotukset</w:t>
            </w:r>
          </w:p>
          <w:p w:rsidRPr="00631B52" w:rsidR="00631B52" w:rsidP="00F00383" w:rsidRDefault="00631B52" w14:paraId="609875FB" w14:textId="77777777">
            <w:pPr>
              <w:numPr>
                <w:ilvl w:val="0"/>
                <w:numId w:val="2"/>
              </w:numPr>
              <w:tabs>
                <w:tab w:val="clear" w:pos="720"/>
              </w:tabs>
              <w:spacing w:after="0" w:line="240" w:lineRule="auto"/>
              <w:ind w:left="321" w:hanging="258"/>
              <w:contextualSpacing/>
              <w:rPr>
                <w:rFonts w:cstheme="minorHAnsi"/>
                <w:bCs/>
                <w:sz w:val="22"/>
                <w:szCs w:val="22"/>
              </w:rPr>
            </w:pPr>
            <w:r w:rsidRPr="00631B52">
              <w:rPr>
                <w:rFonts w:cstheme="minorHAnsi"/>
                <w:bCs/>
                <w:sz w:val="22"/>
                <w:szCs w:val="22"/>
              </w:rPr>
              <w:t>Raamatun ja etiikan suhde</w:t>
            </w:r>
          </w:p>
          <w:p w:rsidRPr="00631B52" w:rsidR="00631B52" w:rsidP="00F00383" w:rsidRDefault="00631B52" w14:paraId="53F313E5" w14:textId="77777777">
            <w:pPr>
              <w:numPr>
                <w:ilvl w:val="0"/>
                <w:numId w:val="2"/>
              </w:numPr>
              <w:tabs>
                <w:tab w:val="clear" w:pos="720"/>
              </w:tabs>
              <w:spacing w:after="0" w:line="240" w:lineRule="auto"/>
              <w:ind w:left="321" w:hanging="258"/>
              <w:contextualSpacing/>
              <w:rPr>
                <w:rFonts w:cstheme="minorHAnsi"/>
                <w:bCs/>
                <w:sz w:val="22"/>
                <w:szCs w:val="22"/>
              </w:rPr>
            </w:pPr>
            <w:r w:rsidRPr="00631B52">
              <w:rPr>
                <w:rFonts w:cstheme="minorHAnsi"/>
                <w:bCs/>
                <w:sz w:val="22"/>
                <w:szCs w:val="22"/>
              </w:rPr>
              <w:t>YK:n yleismaailmallinen ihmisoikeusjulistus ja ihmisoikeusetiikka</w:t>
            </w:r>
          </w:p>
          <w:p w:rsidRPr="00631B52" w:rsidR="00631B52" w:rsidP="00F00383" w:rsidRDefault="00631B52" w14:paraId="2F4F1FBE" w14:textId="77777777">
            <w:pPr>
              <w:numPr>
                <w:ilvl w:val="0"/>
                <w:numId w:val="2"/>
              </w:numPr>
              <w:tabs>
                <w:tab w:val="clear" w:pos="720"/>
              </w:tabs>
              <w:spacing w:after="0" w:line="240" w:lineRule="auto"/>
              <w:ind w:left="321" w:hanging="258"/>
              <w:contextualSpacing/>
              <w:rPr>
                <w:rFonts w:cstheme="minorHAnsi"/>
                <w:bCs/>
                <w:sz w:val="22"/>
                <w:szCs w:val="22"/>
              </w:rPr>
            </w:pPr>
            <w:r w:rsidRPr="00631B52">
              <w:rPr>
                <w:rFonts w:cstheme="minorHAnsi"/>
                <w:bCs/>
                <w:sz w:val="22"/>
                <w:szCs w:val="22"/>
              </w:rPr>
              <w:t>omien valintojen eettiset ulottuvuudet ja seuraukset</w:t>
            </w:r>
          </w:p>
          <w:p w:rsidRPr="00631B52" w:rsidR="0094496B" w:rsidP="00F00383" w:rsidRDefault="00631B52" w14:paraId="00B78B5D" w14:textId="550BA33D">
            <w:pPr>
              <w:numPr>
                <w:ilvl w:val="0"/>
                <w:numId w:val="2"/>
              </w:numPr>
              <w:tabs>
                <w:tab w:val="clear" w:pos="720"/>
              </w:tabs>
              <w:spacing w:after="0" w:line="240" w:lineRule="auto"/>
              <w:ind w:left="321" w:hanging="258"/>
              <w:contextualSpacing/>
              <w:rPr>
                <w:rFonts w:cstheme="minorHAnsi"/>
                <w:bCs/>
                <w:sz w:val="22"/>
                <w:szCs w:val="22"/>
              </w:rPr>
            </w:pPr>
            <w:r w:rsidRPr="00631B52">
              <w:rPr>
                <w:rFonts w:cstheme="minorHAnsi"/>
                <w:bCs/>
                <w:sz w:val="22"/>
                <w:szCs w:val="22"/>
              </w:rPr>
              <w:t>Ajankohtaisia eettisiä kysymyksiä</w:t>
            </w:r>
          </w:p>
        </w:tc>
      </w:tr>
      <w:tr w:rsidRPr="00631B52" w:rsidR="0094496B" w:rsidTr="59F15E38" w14:paraId="67887BE3" w14:textId="77777777">
        <w:trPr>
          <w:trHeight w:val="144"/>
        </w:trPr>
        <w:tc>
          <w:tcPr>
            <w:tcW w:w="5000" w:type="pct"/>
            <w:gridSpan w:val="6"/>
            <w:tcBorders>
              <w:top w:val="single" w:color="auto" w:sz="4" w:space="0"/>
              <w:left w:val="single" w:color="auto" w:sz="4" w:space="0"/>
              <w:bottom w:val="single" w:color="auto" w:sz="4" w:space="0"/>
              <w:right w:val="single" w:color="auto" w:sz="4" w:space="0"/>
            </w:tcBorders>
            <w:shd w:val="clear" w:color="auto" w:fill="FFF2CC" w:themeFill="accent4" w:themeFillTint="33"/>
            <w:tcMar>
              <w:top w:w="100" w:type="dxa"/>
              <w:left w:w="100" w:type="dxa"/>
              <w:bottom w:w="100" w:type="dxa"/>
              <w:right w:w="100" w:type="dxa"/>
            </w:tcMar>
          </w:tcPr>
          <w:p w:rsidRPr="00631B52" w:rsidR="0094496B" w:rsidP="59F15E38" w:rsidRDefault="0094496B" w14:paraId="4883134E" w14:textId="5E485A69">
            <w:pPr>
              <w:pStyle w:val="Normaali"/>
              <w:spacing w:after="0" w:line="240" w:lineRule="auto"/>
              <w:contextualSpacing/>
              <w:rPr>
                <w:rFonts w:ascii="Calibri" w:hAnsi="Calibri" w:eastAsia="Calibri" w:cs="Calibri"/>
                <w:noProof w:val="0"/>
                <w:sz w:val="22"/>
                <w:szCs w:val="22"/>
                <w:lang w:val="fi-FI"/>
              </w:rPr>
            </w:pPr>
            <w:r w:rsidRPr="59F15E38" w:rsidR="0779E0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i-FI"/>
              </w:rPr>
              <w:t xml:space="preserve">OPH:n tukimateriaali päättöarviointiin: </w:t>
            </w:r>
            <w:hyperlink r:id="Rf3119b316efa49eb">
              <w:r w:rsidRPr="59F15E38" w:rsidR="2007427C">
                <w:rPr>
                  <w:rStyle w:val="Hyperlink"/>
                  <w:rFonts w:ascii="Calibri" w:hAnsi="Calibri" w:eastAsia="Calibri" w:cs="Calibri"/>
                  <w:b w:val="0"/>
                  <w:bCs w:val="0"/>
                  <w:i w:val="0"/>
                  <w:iCs w:val="0"/>
                  <w:caps w:val="0"/>
                  <w:smallCaps w:val="0"/>
                  <w:strike w:val="0"/>
                  <w:dstrike w:val="0"/>
                  <w:noProof w:val="0"/>
                  <w:sz w:val="22"/>
                  <w:szCs w:val="22"/>
                  <w:lang w:val="fi-FI"/>
                </w:rPr>
                <w:t>https://www.oph.fi/fi/koulutus-ja-tutkinnot/evankelisluterilaisen-uskonnon-paattoarvioinnin-tukimateriaali</w:t>
              </w:r>
            </w:hyperlink>
            <w:r w:rsidRPr="59F15E38" w:rsidR="200742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i-FI"/>
              </w:rPr>
              <w:t xml:space="preserve"> </w:t>
            </w:r>
          </w:p>
        </w:tc>
      </w:tr>
      <w:tr w:rsidRPr="00631B52" w:rsidR="0094496B" w:rsidTr="59F15E38" w14:paraId="7B200FAA" w14:textId="35B48A83">
        <w:trPr>
          <w:trHeight w:val="284"/>
        </w:trPr>
        <w:tc>
          <w:tcPr>
            <w:tcW w:w="860" w:type="pct"/>
            <w:tcBorders>
              <w:top w:val="single" w:color="auto" w:sz="4" w:space="0"/>
              <w:left w:val="single" w:color="auto" w:sz="4" w:space="0"/>
              <w:bottom w:val="single" w:color="auto" w:sz="4" w:space="0"/>
              <w:right w:val="single" w:color="auto" w:sz="4" w:space="0"/>
            </w:tcBorders>
            <w:shd w:val="clear" w:color="auto" w:fill="B4C6E7" w:themeFill="accent1" w:themeFillTint="66"/>
            <w:tcMar>
              <w:top w:w="100" w:type="dxa"/>
              <w:left w:w="100" w:type="dxa"/>
              <w:bottom w:w="100" w:type="dxa"/>
              <w:right w:w="100" w:type="dxa"/>
            </w:tcMar>
          </w:tcPr>
          <w:p w:rsidRPr="00631B52" w:rsidR="0094496B" w:rsidP="00F00383" w:rsidRDefault="0094496B" w14:paraId="03640224" w14:textId="77777777">
            <w:pPr>
              <w:spacing w:after="0" w:line="240" w:lineRule="auto"/>
              <w:contextualSpacing/>
              <w:rPr>
                <w:rFonts w:cstheme="minorHAnsi"/>
                <w:b/>
                <w:sz w:val="22"/>
                <w:szCs w:val="22"/>
              </w:rPr>
            </w:pPr>
            <w:r w:rsidRPr="00631B52">
              <w:rPr>
                <w:rFonts w:cstheme="minorHAnsi"/>
                <w:b/>
                <w:sz w:val="22"/>
                <w:szCs w:val="22"/>
              </w:rPr>
              <w:t>Opetuksen tavoite</w:t>
            </w:r>
          </w:p>
          <w:p w:rsidRPr="00631B52" w:rsidR="0094496B" w:rsidP="00F00383" w:rsidRDefault="0094496B" w14:paraId="2EB2E403" w14:textId="77777777">
            <w:pPr>
              <w:spacing w:after="0" w:line="240" w:lineRule="auto"/>
              <w:ind w:left="-60"/>
              <w:contextualSpacing/>
              <w:rPr>
                <w:rFonts w:cstheme="minorHAnsi"/>
                <w:b/>
                <w:sz w:val="22"/>
                <w:szCs w:val="22"/>
              </w:rPr>
            </w:pPr>
          </w:p>
        </w:tc>
        <w:tc>
          <w:tcPr>
            <w:tcW w:w="311" w:type="pct"/>
            <w:tcBorders>
              <w:top w:val="single" w:color="auto" w:sz="4" w:space="0"/>
              <w:left w:val="single" w:color="auto" w:sz="4" w:space="0"/>
              <w:bottom w:val="single" w:color="auto" w:sz="4" w:space="0"/>
              <w:right w:val="single" w:color="auto" w:sz="4" w:space="0"/>
            </w:tcBorders>
            <w:shd w:val="clear" w:color="auto" w:fill="B4C6E7" w:themeFill="accent1" w:themeFillTint="66"/>
            <w:tcMar>
              <w:top w:w="100" w:type="dxa"/>
              <w:left w:w="100" w:type="dxa"/>
              <w:bottom w:w="100" w:type="dxa"/>
              <w:right w:w="100" w:type="dxa"/>
            </w:tcMar>
            <w:hideMark/>
          </w:tcPr>
          <w:p w:rsidRPr="00631B52" w:rsidR="0094496B" w:rsidP="00F00383" w:rsidRDefault="0094496B" w14:paraId="1FE22521" w14:textId="523596AD">
            <w:pPr>
              <w:spacing w:after="0" w:line="240" w:lineRule="auto"/>
              <w:contextualSpacing/>
              <w:rPr>
                <w:rFonts w:cstheme="minorHAnsi"/>
                <w:b/>
                <w:sz w:val="22"/>
                <w:szCs w:val="22"/>
              </w:rPr>
            </w:pPr>
            <w:r w:rsidRPr="00631B52">
              <w:rPr>
                <w:rFonts w:cstheme="minorHAnsi"/>
                <w:b/>
                <w:sz w:val="22"/>
                <w:szCs w:val="22"/>
              </w:rPr>
              <w:t>Sisältö</w:t>
            </w:r>
            <w:r w:rsidR="00AC5552">
              <w:rPr>
                <w:rFonts w:cstheme="minorHAnsi"/>
                <w:b/>
                <w:sz w:val="22"/>
                <w:szCs w:val="22"/>
              </w:rPr>
              <w:t>-</w:t>
            </w:r>
            <w:r w:rsidRPr="00631B52">
              <w:rPr>
                <w:rFonts w:cstheme="minorHAnsi"/>
                <w:b/>
                <w:sz w:val="22"/>
                <w:szCs w:val="22"/>
              </w:rPr>
              <w:t>alueet</w:t>
            </w:r>
          </w:p>
        </w:tc>
        <w:tc>
          <w:tcPr>
            <w:tcW w:w="1051" w:type="pct"/>
            <w:tcBorders>
              <w:top w:val="single" w:color="auto" w:sz="4" w:space="0"/>
              <w:left w:val="single" w:color="auto" w:sz="4" w:space="0"/>
              <w:bottom w:val="single" w:color="auto" w:sz="4" w:space="0"/>
              <w:right w:val="single" w:color="auto" w:sz="4" w:space="0"/>
            </w:tcBorders>
            <w:shd w:val="clear" w:color="auto" w:fill="B4C6E7" w:themeFill="accent1" w:themeFillTint="66"/>
            <w:tcMar>
              <w:top w:w="100" w:type="dxa"/>
              <w:left w:w="100" w:type="dxa"/>
              <w:bottom w:w="100" w:type="dxa"/>
              <w:right w:w="100" w:type="dxa"/>
            </w:tcMar>
            <w:hideMark/>
          </w:tcPr>
          <w:p w:rsidRPr="00631B52" w:rsidR="0094496B" w:rsidP="00F00383" w:rsidRDefault="0094496B" w14:paraId="41B714E4" w14:textId="77777777">
            <w:pPr>
              <w:spacing w:after="0" w:line="240" w:lineRule="auto"/>
              <w:contextualSpacing/>
              <w:rPr>
                <w:rFonts w:cstheme="minorHAnsi"/>
                <w:b/>
                <w:sz w:val="22"/>
                <w:szCs w:val="22"/>
              </w:rPr>
            </w:pPr>
            <w:r w:rsidRPr="00631B52">
              <w:rPr>
                <w:rFonts w:cstheme="minorHAnsi"/>
                <w:b/>
                <w:sz w:val="22"/>
                <w:szCs w:val="22"/>
              </w:rPr>
              <w:t>Opetuksen tavoitteista johdetut oppimisen tavoitteet</w:t>
            </w:r>
          </w:p>
        </w:tc>
        <w:tc>
          <w:tcPr>
            <w:tcW w:w="778" w:type="pct"/>
            <w:tcBorders>
              <w:top w:val="single" w:color="auto" w:sz="4" w:space="0"/>
              <w:left w:val="single" w:color="auto" w:sz="4" w:space="0"/>
              <w:bottom w:val="single" w:color="auto" w:sz="4" w:space="0"/>
              <w:right w:val="single" w:color="auto" w:sz="4" w:space="0"/>
            </w:tcBorders>
            <w:shd w:val="clear" w:color="auto" w:fill="B4C6E7" w:themeFill="accent1" w:themeFillTint="66"/>
            <w:tcMar>
              <w:top w:w="100" w:type="dxa"/>
              <w:left w:w="100" w:type="dxa"/>
              <w:bottom w:w="100" w:type="dxa"/>
              <w:right w:w="100" w:type="dxa"/>
            </w:tcMar>
            <w:hideMark/>
          </w:tcPr>
          <w:p w:rsidRPr="00631B52" w:rsidR="0094496B" w:rsidP="00F00383" w:rsidRDefault="0094496B" w14:paraId="27A9479F" w14:textId="77777777">
            <w:pPr>
              <w:spacing w:after="0" w:line="240" w:lineRule="auto"/>
              <w:contextualSpacing/>
              <w:rPr>
                <w:rFonts w:cstheme="minorHAnsi"/>
                <w:b/>
                <w:sz w:val="22"/>
                <w:szCs w:val="22"/>
              </w:rPr>
            </w:pPr>
            <w:r w:rsidRPr="00631B52">
              <w:rPr>
                <w:rFonts w:cstheme="minorHAnsi"/>
                <w:b/>
                <w:sz w:val="22"/>
                <w:szCs w:val="22"/>
              </w:rPr>
              <w:t xml:space="preserve">Arvioinnin kohde </w:t>
            </w:r>
          </w:p>
        </w:tc>
        <w:tc>
          <w:tcPr>
            <w:tcW w:w="703" w:type="pct"/>
            <w:tcBorders>
              <w:top w:val="single" w:color="auto" w:sz="4" w:space="0"/>
              <w:left w:val="single" w:color="auto" w:sz="4" w:space="0"/>
              <w:bottom w:val="single" w:color="auto" w:sz="4" w:space="0"/>
              <w:right w:val="single" w:color="auto" w:sz="4" w:space="0"/>
            </w:tcBorders>
            <w:shd w:val="clear" w:color="auto" w:fill="B4C6E7" w:themeFill="accent1" w:themeFillTint="66"/>
            <w:tcMar>
              <w:top w:w="100" w:type="dxa"/>
              <w:left w:w="100" w:type="dxa"/>
              <w:bottom w:w="100" w:type="dxa"/>
              <w:right w:w="100" w:type="dxa"/>
            </w:tcMar>
            <w:hideMark/>
          </w:tcPr>
          <w:p w:rsidRPr="00631B52" w:rsidR="0094496B" w:rsidP="00F00383" w:rsidRDefault="0094496B" w14:paraId="242D5B9B" w14:textId="77777777">
            <w:pPr>
              <w:spacing w:after="0" w:line="240" w:lineRule="auto"/>
              <w:contextualSpacing/>
              <w:rPr>
                <w:rFonts w:cstheme="minorHAnsi"/>
                <w:b/>
                <w:sz w:val="22"/>
                <w:szCs w:val="22"/>
              </w:rPr>
            </w:pPr>
            <w:r w:rsidRPr="00631B52">
              <w:rPr>
                <w:rFonts w:cstheme="minorHAnsi"/>
                <w:b/>
                <w:sz w:val="22"/>
                <w:szCs w:val="22"/>
              </w:rPr>
              <w:t xml:space="preserve">Osaamisen kuvaus arvosanalle 5 </w:t>
            </w:r>
          </w:p>
        </w:tc>
        <w:tc>
          <w:tcPr>
            <w:tcW w:w="1297" w:type="pct"/>
            <w:tcBorders>
              <w:top w:val="single" w:color="auto" w:sz="4" w:space="0"/>
              <w:left w:val="single" w:color="auto" w:sz="4" w:space="0"/>
              <w:bottom w:val="single" w:color="auto" w:sz="4" w:space="0"/>
              <w:right w:val="single" w:color="auto" w:sz="4" w:space="0"/>
            </w:tcBorders>
            <w:shd w:val="clear" w:color="auto" w:fill="B4C6E7" w:themeFill="accent1" w:themeFillTint="66"/>
            <w:tcMar/>
          </w:tcPr>
          <w:p w:rsidRPr="00631B52" w:rsidR="0094496B" w:rsidP="00F00383" w:rsidRDefault="0094496B" w14:paraId="6A328B5E" w14:textId="5CD8EE9C">
            <w:pPr>
              <w:spacing w:after="0" w:line="240" w:lineRule="auto"/>
              <w:contextualSpacing/>
              <w:rPr>
                <w:rFonts w:cstheme="minorHAnsi"/>
                <w:b/>
                <w:sz w:val="22"/>
                <w:szCs w:val="22"/>
              </w:rPr>
            </w:pPr>
            <w:r w:rsidRPr="00631B52">
              <w:rPr>
                <w:rFonts w:cstheme="minorHAnsi"/>
                <w:b/>
                <w:sz w:val="22"/>
                <w:szCs w:val="22"/>
              </w:rPr>
              <w:t>Käytännönläheisiä esimerkkejä</w:t>
            </w:r>
          </w:p>
        </w:tc>
      </w:tr>
      <w:tr w:rsidRPr="00631B52" w:rsidR="0094496B" w:rsidTr="59F15E38" w14:paraId="19EC8F10" w14:textId="289D04D1">
        <w:trPr>
          <w:trHeight w:val="284"/>
        </w:trPr>
        <w:tc>
          <w:tcPr>
            <w:tcW w:w="86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0F297CA8" w14:textId="77777777">
            <w:pPr>
              <w:spacing w:after="0" w:line="240" w:lineRule="auto"/>
              <w:ind w:left="40" w:right="100"/>
              <w:contextualSpacing/>
              <w:rPr>
                <w:rFonts w:cstheme="minorHAnsi"/>
                <w:sz w:val="22"/>
                <w:szCs w:val="22"/>
              </w:rPr>
            </w:pPr>
            <w:r w:rsidRPr="00631B52">
              <w:rPr>
                <w:rFonts w:cstheme="minorHAnsi"/>
                <w:sz w:val="22"/>
                <w:szCs w:val="22"/>
              </w:rPr>
              <w:t>T5 ohjata oppilasta havaitsemaan ja arvioimaan erilaisia argumentaation tapoja sekä uskonnon ja tieteen kielen välisiä eroja</w:t>
            </w:r>
          </w:p>
        </w:tc>
        <w:tc>
          <w:tcPr>
            <w:tcW w:w="311"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45A000AA" w14:textId="77777777">
            <w:pPr>
              <w:spacing w:after="0" w:line="240" w:lineRule="auto"/>
              <w:contextualSpacing/>
              <w:rPr>
                <w:rFonts w:cstheme="minorHAnsi"/>
                <w:sz w:val="22"/>
                <w:szCs w:val="22"/>
              </w:rPr>
            </w:pPr>
            <w:r w:rsidRPr="00631B52">
              <w:rPr>
                <w:rFonts w:cstheme="minorHAnsi"/>
                <w:sz w:val="22"/>
                <w:szCs w:val="22"/>
              </w:rPr>
              <w:t>S1, S3</w:t>
            </w:r>
          </w:p>
        </w:tc>
        <w:tc>
          <w:tcPr>
            <w:tcW w:w="1051"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2646461D" w14:textId="77777777">
            <w:pPr>
              <w:spacing w:after="0" w:line="240" w:lineRule="auto"/>
              <w:contextualSpacing/>
              <w:rPr>
                <w:rFonts w:cstheme="minorHAnsi"/>
                <w:sz w:val="22"/>
                <w:szCs w:val="22"/>
              </w:rPr>
            </w:pPr>
            <w:r w:rsidRPr="00631B52">
              <w:rPr>
                <w:rFonts w:cstheme="minorHAnsi"/>
                <w:sz w:val="22"/>
                <w:szCs w:val="22"/>
              </w:rPr>
              <w:t>Oppilas oppii tunnistamaan ja arvioimaan erilaisia argumentaation tapoja sekä uskonnon ja tieteen kielen välisiä eroja. Hän kehittää valmiuksiaan kuunnella toisten näkemyksiä ja perustella omia näkemyksiään.</w:t>
            </w:r>
          </w:p>
        </w:tc>
        <w:tc>
          <w:tcPr>
            <w:tcW w:w="778"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rsidRPr="00631B52" w:rsidR="0094496B" w:rsidP="00F00383" w:rsidRDefault="0094496B" w14:paraId="70FC7D88" w14:textId="77777777">
            <w:pPr>
              <w:spacing w:after="0" w:line="240" w:lineRule="auto"/>
              <w:contextualSpacing/>
              <w:rPr>
                <w:rFonts w:cstheme="minorHAnsi"/>
                <w:sz w:val="22"/>
                <w:szCs w:val="22"/>
              </w:rPr>
            </w:pPr>
            <w:r w:rsidRPr="00631B52">
              <w:rPr>
                <w:rFonts w:cstheme="minorHAnsi"/>
                <w:sz w:val="22"/>
                <w:szCs w:val="22"/>
              </w:rPr>
              <w:t>Uskonnollisen ja tieteellisen kielen erottaminen sekä ajattelun ja vuorovaikutuksen taidot</w:t>
            </w:r>
          </w:p>
          <w:p w:rsidRPr="00631B52" w:rsidR="0094496B" w:rsidP="00F00383" w:rsidRDefault="0094496B" w14:paraId="2168B0B0" w14:textId="77777777">
            <w:pPr>
              <w:spacing w:after="0" w:line="240" w:lineRule="auto"/>
              <w:contextualSpacing/>
              <w:rPr>
                <w:rFonts w:cstheme="minorHAnsi"/>
                <w:sz w:val="22"/>
                <w:szCs w:val="22"/>
              </w:rPr>
            </w:pPr>
          </w:p>
        </w:tc>
        <w:tc>
          <w:tcPr>
            <w:tcW w:w="703"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hideMark/>
          </w:tcPr>
          <w:p w:rsidRPr="00631B52" w:rsidR="0094496B" w:rsidP="00F00383" w:rsidRDefault="0094496B" w14:paraId="484F012A" w14:textId="77777777">
            <w:pPr>
              <w:spacing w:after="0" w:line="240" w:lineRule="auto"/>
              <w:contextualSpacing/>
              <w:rPr>
                <w:rFonts w:cstheme="minorHAnsi"/>
                <w:i/>
                <w:sz w:val="22"/>
                <w:szCs w:val="22"/>
              </w:rPr>
            </w:pPr>
            <w:r w:rsidRPr="00631B52">
              <w:rPr>
                <w:rFonts w:cstheme="minorHAnsi"/>
                <w:sz w:val="22"/>
                <w:szCs w:val="22"/>
              </w:rPr>
              <w:t>Oppilas erottaa selkeästi uskonnollisen ja selkeästi tieteellisen väitteen toisistaan.</w:t>
            </w:r>
          </w:p>
        </w:tc>
        <w:tc>
          <w:tcPr>
            <w:tcW w:w="1297" w:type="pct"/>
            <w:tcBorders>
              <w:top w:val="single" w:color="auto" w:sz="4" w:space="0"/>
              <w:left w:val="single" w:color="auto" w:sz="4" w:space="0"/>
              <w:bottom w:val="single" w:color="auto" w:sz="4" w:space="0"/>
              <w:right w:val="single" w:color="auto" w:sz="4" w:space="0"/>
            </w:tcBorders>
            <w:tcMar/>
          </w:tcPr>
          <w:p w:rsidRPr="00631B52" w:rsidR="00D65E42" w:rsidP="00F00383" w:rsidRDefault="006C2284" w14:paraId="2ACE7C7A" w14:textId="5D319532">
            <w:pPr>
              <w:spacing w:after="0" w:line="240" w:lineRule="auto"/>
              <w:contextualSpacing/>
              <w:rPr>
                <w:rFonts w:cstheme="minorHAnsi"/>
                <w:sz w:val="22"/>
                <w:szCs w:val="22"/>
              </w:rPr>
            </w:pPr>
            <w:r>
              <w:rPr>
                <w:rFonts w:cstheme="minorHAnsi"/>
                <w:sz w:val="22"/>
                <w:szCs w:val="22"/>
              </w:rPr>
              <w:t xml:space="preserve">Tekstien vertailutehtävät. Luokittelu- ja lajittelutehtävät. </w:t>
            </w:r>
            <w:r w:rsidR="00D65E42">
              <w:rPr>
                <w:rFonts w:cstheme="minorHAnsi"/>
                <w:sz w:val="22"/>
                <w:szCs w:val="22"/>
              </w:rPr>
              <w:t>Toiminnalliset tehtävät (esim. janatehtävä ryhmässä: uskonnollinen vs. tieteellinen).</w:t>
            </w:r>
          </w:p>
        </w:tc>
      </w:tr>
      <w:tr w:rsidRPr="00631B52" w:rsidR="0094496B" w:rsidTr="59F15E38" w14:paraId="3A34E121" w14:textId="4E8A10C9">
        <w:trPr>
          <w:trHeight w:val="284"/>
        </w:trPr>
        <w:tc>
          <w:tcPr>
            <w:tcW w:w="86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23391462" w14:textId="77777777">
            <w:pPr>
              <w:spacing w:after="0" w:line="240" w:lineRule="auto"/>
              <w:ind w:left="40" w:right="100"/>
              <w:contextualSpacing/>
              <w:rPr>
                <w:rFonts w:cstheme="minorHAnsi"/>
                <w:sz w:val="22"/>
                <w:szCs w:val="22"/>
              </w:rPr>
            </w:pPr>
            <w:r w:rsidRPr="00631B52">
              <w:rPr>
                <w:rFonts w:cstheme="minorHAnsi"/>
                <w:sz w:val="22"/>
                <w:szCs w:val="22"/>
              </w:rPr>
              <w:t>T6 ohjata oppilasta perehtymään eettisen ajattelun keskeisiin käsitteisiin, ihmisoikeuksiin sekä opiskeltavan uskonnon ja muiden uskontojen ja katsomusten eettisiin periaatteisiin</w:t>
            </w:r>
          </w:p>
        </w:tc>
        <w:tc>
          <w:tcPr>
            <w:tcW w:w="311"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5FCFB696" w14:textId="77777777">
            <w:pPr>
              <w:spacing w:after="0" w:line="240" w:lineRule="auto"/>
              <w:contextualSpacing/>
              <w:rPr>
                <w:rFonts w:cstheme="minorHAnsi"/>
                <w:sz w:val="22"/>
                <w:szCs w:val="22"/>
              </w:rPr>
            </w:pPr>
            <w:r w:rsidRPr="00631B52">
              <w:rPr>
                <w:rFonts w:cstheme="minorHAnsi"/>
                <w:sz w:val="22"/>
                <w:szCs w:val="22"/>
              </w:rPr>
              <w:t xml:space="preserve">S3 </w:t>
            </w:r>
          </w:p>
        </w:tc>
        <w:tc>
          <w:tcPr>
            <w:tcW w:w="1051"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3E9C812B" w14:textId="77777777">
            <w:pPr>
              <w:spacing w:after="0" w:line="240" w:lineRule="auto"/>
              <w:contextualSpacing/>
              <w:rPr>
                <w:rFonts w:cstheme="minorHAnsi"/>
                <w:sz w:val="22"/>
                <w:szCs w:val="22"/>
              </w:rPr>
            </w:pPr>
            <w:r w:rsidRPr="00631B52">
              <w:rPr>
                <w:rFonts w:cstheme="minorHAnsi"/>
                <w:sz w:val="22"/>
                <w:szCs w:val="22"/>
              </w:rPr>
              <w:t>Oppilas oppii soveltamaan eettisen ajattelun keskeisiä käsitteitä. Hän tietää keskeiset ihmisoikeudet sekä opiskeltavan uskonnon ja muiden uskontojen ja katsomusten eettisiä periaatteita.</w:t>
            </w:r>
          </w:p>
        </w:tc>
        <w:tc>
          <w:tcPr>
            <w:tcW w:w="778"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rsidRPr="00631B52" w:rsidR="0094496B" w:rsidP="00F00383" w:rsidRDefault="0094496B" w14:paraId="15141EF2" w14:textId="77777777">
            <w:pPr>
              <w:spacing w:after="0" w:line="240" w:lineRule="auto"/>
              <w:contextualSpacing/>
              <w:rPr>
                <w:rFonts w:cstheme="minorHAnsi"/>
                <w:sz w:val="22"/>
                <w:szCs w:val="22"/>
              </w:rPr>
            </w:pPr>
            <w:r w:rsidRPr="00631B52">
              <w:rPr>
                <w:rFonts w:cstheme="minorHAnsi"/>
                <w:sz w:val="22"/>
                <w:szCs w:val="22"/>
              </w:rPr>
              <w:t>Etiikkaa ja ihmisoikeuksia koskevan tiedon hallitseminen</w:t>
            </w:r>
          </w:p>
          <w:p w:rsidRPr="00631B52" w:rsidR="0094496B" w:rsidP="00F00383" w:rsidRDefault="0094496B" w14:paraId="3FF3F8F7" w14:textId="77777777">
            <w:pPr>
              <w:spacing w:after="0" w:line="240" w:lineRule="auto"/>
              <w:contextualSpacing/>
              <w:rPr>
                <w:rFonts w:cstheme="minorHAnsi"/>
                <w:sz w:val="22"/>
                <w:szCs w:val="22"/>
              </w:rPr>
            </w:pPr>
          </w:p>
        </w:tc>
        <w:tc>
          <w:tcPr>
            <w:tcW w:w="703"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rsidRPr="00631B52" w:rsidR="0094496B" w:rsidP="00F00383" w:rsidRDefault="0094496B" w14:paraId="0DA2E769" w14:textId="77777777">
            <w:pPr>
              <w:spacing w:after="0" w:line="240" w:lineRule="auto"/>
              <w:contextualSpacing/>
              <w:rPr>
                <w:rFonts w:cstheme="minorHAnsi"/>
                <w:sz w:val="22"/>
                <w:szCs w:val="22"/>
              </w:rPr>
            </w:pPr>
            <w:r w:rsidRPr="00631B52">
              <w:rPr>
                <w:rFonts w:cstheme="minorHAnsi"/>
                <w:sz w:val="22"/>
                <w:szCs w:val="22"/>
              </w:rPr>
              <w:t>Oppilas osaa antaa esimerkin jostakin ihmisoikeudesta.</w:t>
            </w:r>
          </w:p>
          <w:p w:rsidRPr="00631B52" w:rsidR="0094496B" w:rsidP="00F00383" w:rsidRDefault="0094496B" w14:paraId="3D946C27" w14:textId="77777777">
            <w:pPr>
              <w:spacing w:after="0" w:line="240" w:lineRule="auto"/>
              <w:contextualSpacing/>
              <w:rPr>
                <w:rFonts w:cstheme="minorHAnsi"/>
                <w:sz w:val="22"/>
                <w:szCs w:val="22"/>
              </w:rPr>
            </w:pPr>
          </w:p>
          <w:p w:rsidRPr="00631B52" w:rsidR="0094496B" w:rsidP="00F00383" w:rsidRDefault="0094496B" w14:paraId="0205F92D" w14:textId="77777777">
            <w:pPr>
              <w:spacing w:after="0" w:line="240" w:lineRule="auto"/>
              <w:contextualSpacing/>
              <w:rPr>
                <w:rFonts w:cstheme="minorHAnsi"/>
                <w:i/>
                <w:sz w:val="22"/>
                <w:szCs w:val="22"/>
              </w:rPr>
            </w:pPr>
            <w:r w:rsidRPr="00631B52">
              <w:rPr>
                <w:rFonts w:cstheme="minorHAnsi"/>
                <w:sz w:val="22"/>
                <w:szCs w:val="22"/>
              </w:rPr>
              <w:t>Oppilas osaa antaa esimerkin opiskeltavan uskonnon eettisistä periaatteista.</w:t>
            </w:r>
          </w:p>
        </w:tc>
        <w:tc>
          <w:tcPr>
            <w:tcW w:w="1297" w:type="pct"/>
            <w:tcBorders>
              <w:top w:val="single" w:color="auto" w:sz="4" w:space="0"/>
              <w:left w:val="single" w:color="auto" w:sz="4" w:space="0"/>
              <w:bottom w:val="single" w:color="auto" w:sz="4" w:space="0"/>
              <w:right w:val="single" w:color="auto" w:sz="4" w:space="0"/>
            </w:tcBorders>
            <w:tcMar/>
          </w:tcPr>
          <w:p w:rsidR="0093549F" w:rsidP="00F00383" w:rsidRDefault="0093549F" w14:paraId="589A1E71" w14:textId="77777777">
            <w:pPr>
              <w:spacing w:after="0" w:line="240" w:lineRule="auto"/>
              <w:contextualSpacing/>
              <w:rPr>
                <w:rFonts w:cstheme="minorHAnsi"/>
                <w:sz w:val="22"/>
                <w:szCs w:val="22"/>
              </w:rPr>
            </w:pPr>
            <w:r>
              <w:rPr>
                <w:rFonts w:cstheme="minorHAnsi"/>
                <w:sz w:val="22"/>
                <w:szCs w:val="22"/>
              </w:rPr>
              <w:t xml:space="preserve">YK:n ihmisoikeuksien julistuksen kautta asian käsitteleminen. </w:t>
            </w:r>
          </w:p>
          <w:p w:rsidR="0093549F" w:rsidP="00F00383" w:rsidRDefault="0093549F" w14:paraId="1EF46EAE" w14:textId="77777777">
            <w:pPr>
              <w:spacing w:after="0" w:line="240" w:lineRule="auto"/>
              <w:contextualSpacing/>
              <w:rPr>
                <w:rFonts w:cstheme="minorHAnsi"/>
                <w:sz w:val="22"/>
                <w:szCs w:val="22"/>
              </w:rPr>
            </w:pPr>
          </w:p>
          <w:p w:rsidR="0075139A" w:rsidP="00F00383" w:rsidRDefault="0093549F" w14:paraId="38371A37" w14:textId="21B0A501">
            <w:pPr>
              <w:spacing w:after="0" w:line="240" w:lineRule="auto"/>
              <w:contextualSpacing/>
              <w:rPr>
                <w:rFonts w:cstheme="minorHAnsi"/>
                <w:sz w:val="22"/>
                <w:szCs w:val="22"/>
              </w:rPr>
            </w:pPr>
            <w:r>
              <w:rPr>
                <w:rFonts w:cstheme="minorHAnsi"/>
                <w:sz w:val="22"/>
                <w:szCs w:val="22"/>
              </w:rPr>
              <w:t xml:space="preserve">Tiedonhakutehtävä </w:t>
            </w:r>
            <w:r w:rsidR="0075139A">
              <w:rPr>
                <w:rFonts w:cstheme="minorHAnsi"/>
                <w:sz w:val="22"/>
                <w:szCs w:val="22"/>
              </w:rPr>
              <w:t xml:space="preserve">ihmisoikeuksista ja ev. </w:t>
            </w:r>
            <w:proofErr w:type="spellStart"/>
            <w:r w:rsidR="0075139A">
              <w:rPr>
                <w:rFonts w:cstheme="minorHAnsi"/>
                <w:sz w:val="22"/>
                <w:szCs w:val="22"/>
              </w:rPr>
              <w:t>lut</w:t>
            </w:r>
            <w:proofErr w:type="spellEnd"/>
            <w:r w:rsidR="0075139A">
              <w:rPr>
                <w:rFonts w:cstheme="minorHAnsi"/>
                <w:sz w:val="22"/>
                <w:szCs w:val="22"/>
              </w:rPr>
              <w:t xml:space="preserve">. uskonnon eettisistä perusteista </w:t>
            </w:r>
            <w:r>
              <w:rPr>
                <w:rFonts w:cstheme="minorHAnsi"/>
                <w:sz w:val="22"/>
                <w:szCs w:val="22"/>
              </w:rPr>
              <w:t>(YK, Ihmisoikeusliitto</w:t>
            </w:r>
            <w:r w:rsidR="0075139A">
              <w:rPr>
                <w:rFonts w:cstheme="minorHAnsi"/>
                <w:sz w:val="22"/>
                <w:szCs w:val="22"/>
              </w:rPr>
              <w:t xml:space="preserve">, </w:t>
            </w:r>
            <w:r w:rsidR="00DF02AA">
              <w:rPr>
                <w:rFonts w:cstheme="minorHAnsi"/>
                <w:sz w:val="22"/>
                <w:szCs w:val="22"/>
              </w:rPr>
              <w:t>koulujakirkko.</w:t>
            </w:r>
            <w:r w:rsidR="0075139A">
              <w:rPr>
                <w:rFonts w:cstheme="minorHAnsi"/>
                <w:sz w:val="22"/>
                <w:szCs w:val="22"/>
              </w:rPr>
              <w:t>evl.fi</w:t>
            </w:r>
            <w:r w:rsidR="00DF02AA">
              <w:rPr>
                <w:rFonts w:cstheme="minorHAnsi"/>
                <w:sz w:val="22"/>
                <w:szCs w:val="22"/>
              </w:rPr>
              <w:t>)</w:t>
            </w:r>
            <w:r>
              <w:rPr>
                <w:rFonts w:cstheme="minorHAnsi"/>
                <w:sz w:val="22"/>
                <w:szCs w:val="22"/>
              </w:rPr>
              <w:t>.</w:t>
            </w:r>
            <w:r w:rsidR="008B2869">
              <w:rPr>
                <w:rFonts w:cstheme="minorHAnsi"/>
                <w:sz w:val="22"/>
                <w:szCs w:val="22"/>
              </w:rPr>
              <w:t xml:space="preserve"> </w:t>
            </w:r>
          </w:p>
          <w:p w:rsidR="0075139A" w:rsidP="00F00383" w:rsidRDefault="0075139A" w14:paraId="48E0840A" w14:textId="77777777">
            <w:pPr>
              <w:spacing w:after="0" w:line="240" w:lineRule="auto"/>
              <w:contextualSpacing/>
              <w:rPr>
                <w:rFonts w:cstheme="minorHAnsi"/>
                <w:sz w:val="22"/>
                <w:szCs w:val="22"/>
              </w:rPr>
            </w:pPr>
          </w:p>
          <w:p w:rsidRPr="00631B52" w:rsidR="008B2869" w:rsidP="00F00383" w:rsidRDefault="00C6391E" w14:paraId="21B2DF44" w14:textId="7107DC9E">
            <w:pPr>
              <w:spacing w:after="0" w:line="240" w:lineRule="auto"/>
              <w:contextualSpacing/>
              <w:rPr>
                <w:rFonts w:cstheme="minorHAnsi"/>
                <w:sz w:val="22"/>
                <w:szCs w:val="22"/>
              </w:rPr>
            </w:pPr>
            <w:r>
              <w:rPr>
                <w:rFonts w:cstheme="minorHAnsi"/>
                <w:sz w:val="22"/>
                <w:szCs w:val="22"/>
              </w:rPr>
              <w:lastRenderedPageBreak/>
              <w:t>Uutisten, videoiden ja dokumenttien käyttö</w:t>
            </w:r>
            <w:r w:rsidR="008B2869">
              <w:rPr>
                <w:rFonts w:cstheme="minorHAnsi"/>
                <w:sz w:val="22"/>
                <w:szCs w:val="22"/>
              </w:rPr>
              <w:t xml:space="preserve"> (esim. Yle </w:t>
            </w:r>
            <w:proofErr w:type="spellStart"/>
            <w:r w:rsidR="008B2869">
              <w:rPr>
                <w:rFonts w:cstheme="minorHAnsi"/>
                <w:sz w:val="22"/>
                <w:szCs w:val="22"/>
              </w:rPr>
              <w:t>Triplet</w:t>
            </w:r>
            <w:proofErr w:type="spellEnd"/>
            <w:r w:rsidR="008B2869">
              <w:rPr>
                <w:rFonts w:cstheme="minorHAnsi"/>
                <w:sz w:val="22"/>
                <w:szCs w:val="22"/>
              </w:rPr>
              <w:t>)</w:t>
            </w:r>
          </w:p>
        </w:tc>
      </w:tr>
      <w:tr w:rsidRPr="00631B52" w:rsidR="0094496B" w:rsidTr="59F15E38" w14:paraId="0BD9012B" w14:textId="630CB486">
        <w:trPr>
          <w:trHeight w:val="284"/>
        </w:trPr>
        <w:tc>
          <w:tcPr>
            <w:tcW w:w="86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5D53CE50" w14:textId="77777777">
            <w:pPr>
              <w:spacing w:after="0" w:line="240" w:lineRule="auto"/>
              <w:ind w:left="40" w:right="100"/>
              <w:contextualSpacing/>
              <w:rPr>
                <w:rFonts w:cstheme="minorHAnsi"/>
                <w:sz w:val="22"/>
                <w:szCs w:val="22"/>
              </w:rPr>
            </w:pPr>
            <w:r w:rsidRPr="00631B52">
              <w:rPr>
                <w:rFonts w:cstheme="minorHAnsi"/>
                <w:sz w:val="22"/>
                <w:szCs w:val="22"/>
              </w:rPr>
              <w:lastRenderedPageBreak/>
              <w:t>T8 rohkaista oppilasta pohtimaan ihmisyyteen kuuluvia elämänkysymyksiä, ajankohtaisia eettisiä kysymyksiä ja omien arvojen suhdetta niihin</w:t>
            </w:r>
          </w:p>
        </w:tc>
        <w:tc>
          <w:tcPr>
            <w:tcW w:w="311"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731EABB3" w14:textId="77777777">
            <w:pPr>
              <w:spacing w:after="0" w:line="240" w:lineRule="auto"/>
              <w:contextualSpacing/>
              <w:rPr>
                <w:rFonts w:cstheme="minorHAnsi"/>
                <w:sz w:val="22"/>
                <w:szCs w:val="22"/>
              </w:rPr>
            </w:pPr>
            <w:r w:rsidRPr="00631B52">
              <w:rPr>
                <w:rFonts w:cstheme="minorHAnsi"/>
                <w:sz w:val="22"/>
                <w:szCs w:val="22"/>
              </w:rPr>
              <w:t>S1, S2, S3</w:t>
            </w:r>
          </w:p>
        </w:tc>
        <w:tc>
          <w:tcPr>
            <w:tcW w:w="1051"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rsidRPr="00631B52" w:rsidR="0094496B" w:rsidP="00F00383" w:rsidRDefault="0094496B" w14:paraId="7D833B24" w14:textId="5E20036C">
            <w:pPr>
              <w:spacing w:after="0" w:line="240" w:lineRule="auto"/>
              <w:contextualSpacing/>
              <w:rPr>
                <w:rFonts w:cstheme="minorHAnsi"/>
                <w:sz w:val="22"/>
                <w:szCs w:val="22"/>
              </w:rPr>
            </w:pPr>
            <w:r w:rsidRPr="00631B52">
              <w:rPr>
                <w:rFonts w:cstheme="minorHAnsi"/>
                <w:sz w:val="22"/>
                <w:szCs w:val="22"/>
              </w:rPr>
              <w:t>Oppilas oppii pohtimaan itsenäisesti ja yhdessä muiden kanssa ihmisyyteen kuuluvia elämänkysymyksiä, ajankohtaisia eettisiä kysymyksiä ja omien arvojen suhdetta niihin.</w:t>
            </w:r>
          </w:p>
        </w:tc>
        <w:tc>
          <w:tcPr>
            <w:tcW w:w="778"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rsidRPr="00631B52" w:rsidR="0094496B" w:rsidP="00F00383" w:rsidRDefault="0094496B" w14:paraId="2E80D0AF" w14:textId="77777777">
            <w:pPr>
              <w:spacing w:after="0" w:line="240" w:lineRule="auto"/>
              <w:contextualSpacing/>
              <w:rPr>
                <w:rFonts w:cstheme="minorHAnsi"/>
                <w:sz w:val="22"/>
                <w:szCs w:val="22"/>
              </w:rPr>
            </w:pPr>
            <w:r w:rsidRPr="00631B52">
              <w:rPr>
                <w:rFonts w:cstheme="minorHAnsi"/>
                <w:sz w:val="22"/>
                <w:szCs w:val="22"/>
              </w:rPr>
              <w:t>Eettisen ajattelun ja omien näkemysten ilmaisemisen taidot</w:t>
            </w:r>
          </w:p>
          <w:p w:rsidRPr="00631B52" w:rsidR="0094496B" w:rsidP="00F00383" w:rsidRDefault="0094496B" w14:paraId="1ED2A61D" w14:textId="77777777">
            <w:pPr>
              <w:spacing w:after="0" w:line="240" w:lineRule="auto"/>
              <w:contextualSpacing/>
              <w:rPr>
                <w:rFonts w:cstheme="minorHAnsi"/>
                <w:sz w:val="22"/>
                <w:szCs w:val="22"/>
              </w:rPr>
            </w:pPr>
          </w:p>
        </w:tc>
        <w:tc>
          <w:tcPr>
            <w:tcW w:w="703"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hideMark/>
          </w:tcPr>
          <w:p w:rsidRPr="00631B52" w:rsidR="0094496B" w:rsidP="00F00383" w:rsidRDefault="0094496B" w14:paraId="123B6687" w14:textId="77777777">
            <w:pPr>
              <w:spacing w:after="0" w:line="240" w:lineRule="auto"/>
              <w:contextualSpacing/>
              <w:rPr>
                <w:rFonts w:cstheme="minorHAnsi"/>
                <w:sz w:val="22"/>
                <w:szCs w:val="22"/>
              </w:rPr>
            </w:pPr>
            <w:r w:rsidRPr="00631B52">
              <w:rPr>
                <w:rFonts w:cstheme="minorHAnsi"/>
                <w:sz w:val="22"/>
                <w:szCs w:val="22"/>
              </w:rPr>
              <w:t>Oppilas osaa kuvailla jotakin eettistä kysymystä ja jotakin itselleen tärkeää arvoa.</w:t>
            </w:r>
          </w:p>
        </w:tc>
        <w:tc>
          <w:tcPr>
            <w:tcW w:w="1297" w:type="pct"/>
            <w:tcBorders>
              <w:top w:val="single" w:color="auto" w:sz="4" w:space="0"/>
              <w:left w:val="single" w:color="auto" w:sz="4" w:space="0"/>
              <w:bottom w:val="single" w:color="auto" w:sz="4" w:space="0"/>
              <w:right w:val="single" w:color="auto" w:sz="4" w:space="0"/>
            </w:tcBorders>
            <w:tcMar/>
          </w:tcPr>
          <w:p w:rsidR="0094496B" w:rsidP="00F00383" w:rsidRDefault="00302046" w14:paraId="7CA4DFBD" w14:textId="77777777">
            <w:pPr>
              <w:spacing w:after="0" w:line="240" w:lineRule="auto"/>
              <w:contextualSpacing/>
              <w:rPr>
                <w:rFonts w:cstheme="minorHAnsi"/>
                <w:sz w:val="22"/>
                <w:szCs w:val="22"/>
              </w:rPr>
            </w:pPr>
            <w:r>
              <w:rPr>
                <w:rFonts w:cstheme="minorHAnsi"/>
                <w:sz w:val="22"/>
                <w:szCs w:val="22"/>
              </w:rPr>
              <w:t>E</w:t>
            </w:r>
            <w:r w:rsidR="00756BAE">
              <w:rPr>
                <w:rFonts w:cstheme="minorHAnsi"/>
                <w:sz w:val="22"/>
                <w:szCs w:val="22"/>
              </w:rPr>
              <w:t xml:space="preserve">ettisiin kysymyksiin tutustuminen </w:t>
            </w:r>
            <w:r>
              <w:rPr>
                <w:rFonts w:cstheme="minorHAnsi"/>
                <w:sz w:val="22"/>
                <w:szCs w:val="22"/>
              </w:rPr>
              <w:t xml:space="preserve">yhdessä, jonka jälkeen ajankohtaisten tai itseä kiinnostavien kysymysten käsittely. </w:t>
            </w:r>
          </w:p>
          <w:p w:rsidR="00527CF6" w:rsidP="00F00383" w:rsidRDefault="00527CF6" w14:paraId="11397F35" w14:textId="77777777">
            <w:pPr>
              <w:spacing w:after="0" w:line="240" w:lineRule="auto"/>
              <w:contextualSpacing/>
              <w:rPr>
                <w:rFonts w:cstheme="minorHAnsi"/>
                <w:sz w:val="22"/>
                <w:szCs w:val="22"/>
              </w:rPr>
            </w:pPr>
          </w:p>
          <w:p w:rsidRPr="00631B52" w:rsidR="00527CF6" w:rsidP="00F00383" w:rsidRDefault="00527CF6" w14:paraId="797659A2" w14:textId="57E0E06D">
            <w:pPr>
              <w:spacing w:after="0" w:line="240" w:lineRule="auto"/>
              <w:contextualSpacing/>
              <w:rPr>
                <w:rFonts w:cstheme="minorHAnsi"/>
                <w:sz w:val="22"/>
                <w:szCs w:val="22"/>
              </w:rPr>
            </w:pPr>
            <w:r>
              <w:rPr>
                <w:rFonts w:cstheme="minorHAnsi"/>
                <w:sz w:val="22"/>
                <w:szCs w:val="22"/>
              </w:rPr>
              <w:t>Arvotyöskentely esim. case-työskentely, arvokortit, arvohuutokauppa</w:t>
            </w:r>
            <w:r w:rsidR="00D34ED7">
              <w:rPr>
                <w:rFonts w:cstheme="minorHAnsi"/>
                <w:sz w:val="22"/>
                <w:szCs w:val="22"/>
              </w:rPr>
              <w:t>. Omassa arjessa näkyvät arvot</w:t>
            </w:r>
            <w:r w:rsidR="000C4A8A">
              <w:rPr>
                <w:rFonts w:cstheme="minorHAnsi"/>
                <w:sz w:val="22"/>
                <w:szCs w:val="22"/>
              </w:rPr>
              <w:t xml:space="preserve"> ja niiden havainnointi ja pohdiskelu. </w:t>
            </w:r>
          </w:p>
        </w:tc>
      </w:tr>
      <w:tr w:rsidRPr="00631B52" w:rsidR="0094496B" w:rsidTr="59F15E38" w14:paraId="44765AB4" w14:textId="4C599DB4">
        <w:trPr>
          <w:trHeight w:val="284"/>
        </w:trPr>
        <w:tc>
          <w:tcPr>
            <w:tcW w:w="86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1F0E83F9" w14:textId="77777777">
            <w:pPr>
              <w:spacing w:after="0" w:line="240" w:lineRule="auto"/>
              <w:ind w:left="40" w:right="100"/>
              <w:contextualSpacing/>
              <w:rPr>
                <w:rFonts w:cstheme="minorHAnsi"/>
                <w:sz w:val="22"/>
                <w:szCs w:val="22"/>
              </w:rPr>
            </w:pPr>
            <w:r w:rsidRPr="00631B52">
              <w:rPr>
                <w:rFonts w:cstheme="minorHAnsi"/>
                <w:sz w:val="22"/>
                <w:szCs w:val="22"/>
              </w:rPr>
              <w:t>T9 innostaa oppilasta tutkimaan omien valintojensa eettisiä ulottuvuuksia ja niiden vaikutusta hyvinvointiin ja kannustaa kestävään elämäntapaan</w:t>
            </w:r>
          </w:p>
        </w:tc>
        <w:tc>
          <w:tcPr>
            <w:tcW w:w="311"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0AE9A786" w14:textId="77777777">
            <w:pPr>
              <w:spacing w:after="0" w:line="240" w:lineRule="auto"/>
              <w:contextualSpacing/>
              <w:rPr>
                <w:rFonts w:cstheme="minorHAnsi"/>
                <w:sz w:val="22"/>
                <w:szCs w:val="22"/>
              </w:rPr>
            </w:pPr>
            <w:r w:rsidRPr="00631B52">
              <w:rPr>
                <w:rFonts w:cstheme="minorHAnsi"/>
                <w:sz w:val="22"/>
                <w:szCs w:val="22"/>
              </w:rPr>
              <w:t>S2, S3</w:t>
            </w:r>
          </w:p>
        </w:tc>
        <w:tc>
          <w:tcPr>
            <w:tcW w:w="1051"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rsidRPr="00631B52" w:rsidR="0094496B" w:rsidP="00F00383" w:rsidRDefault="0094496B" w14:paraId="00282329" w14:textId="25CA50A3">
            <w:pPr>
              <w:spacing w:after="0" w:line="240" w:lineRule="auto"/>
              <w:contextualSpacing/>
              <w:rPr>
                <w:rFonts w:cstheme="minorHAnsi"/>
                <w:sz w:val="22"/>
                <w:szCs w:val="22"/>
              </w:rPr>
            </w:pPr>
            <w:r w:rsidRPr="00631B52">
              <w:rPr>
                <w:rFonts w:cstheme="minorHAnsi"/>
                <w:sz w:val="22"/>
                <w:szCs w:val="22"/>
              </w:rPr>
              <w:t>Oppilas harjaantuu analysoimaan eettisiä valintojaan ja niiden vaikutusta hyvinvointiin sekä kehittää valmiuksiaan toteuttaa kestävää elämäntapaa.</w:t>
            </w:r>
          </w:p>
        </w:tc>
        <w:tc>
          <w:tcPr>
            <w:tcW w:w="778"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hideMark/>
          </w:tcPr>
          <w:p w:rsidRPr="00631B52" w:rsidR="0094496B" w:rsidP="00F00383" w:rsidRDefault="0094496B" w14:paraId="1ED99C56" w14:textId="77777777">
            <w:pPr>
              <w:spacing w:after="0" w:line="240" w:lineRule="auto"/>
              <w:contextualSpacing/>
              <w:rPr>
                <w:rFonts w:cstheme="minorHAnsi"/>
                <w:sz w:val="22"/>
                <w:szCs w:val="22"/>
              </w:rPr>
            </w:pPr>
            <w:r w:rsidRPr="00631B52">
              <w:rPr>
                <w:rFonts w:cstheme="minorHAnsi"/>
                <w:sz w:val="22"/>
                <w:szCs w:val="22"/>
              </w:rPr>
              <w:t>Eettisten valintojen vaikutusten hahmottaminen suhteessa hyvinvointiin ja</w:t>
            </w:r>
          </w:p>
          <w:p w:rsidRPr="00631B52" w:rsidR="0094496B" w:rsidP="00F00383" w:rsidRDefault="0094496B" w14:paraId="1D4F4AD0" w14:textId="77777777">
            <w:pPr>
              <w:spacing w:after="0" w:line="240" w:lineRule="auto"/>
              <w:contextualSpacing/>
              <w:rPr>
                <w:rFonts w:cstheme="minorHAnsi"/>
                <w:sz w:val="22"/>
                <w:szCs w:val="22"/>
              </w:rPr>
            </w:pPr>
            <w:r w:rsidRPr="00631B52">
              <w:rPr>
                <w:rFonts w:cstheme="minorHAnsi"/>
                <w:sz w:val="22"/>
                <w:szCs w:val="22"/>
              </w:rPr>
              <w:t>kestävään tulevaisuuteen</w:t>
            </w:r>
          </w:p>
        </w:tc>
        <w:tc>
          <w:tcPr>
            <w:tcW w:w="703"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hideMark/>
          </w:tcPr>
          <w:p w:rsidRPr="00631B52" w:rsidR="0094496B" w:rsidP="00F00383" w:rsidRDefault="0094496B" w14:paraId="05F5DEF0" w14:textId="77777777">
            <w:pPr>
              <w:spacing w:after="0" w:line="240" w:lineRule="auto"/>
              <w:contextualSpacing/>
              <w:rPr>
                <w:rFonts w:cstheme="minorHAnsi"/>
                <w:sz w:val="22"/>
                <w:szCs w:val="22"/>
              </w:rPr>
            </w:pPr>
            <w:r w:rsidRPr="00631B52">
              <w:rPr>
                <w:rFonts w:cstheme="minorHAnsi"/>
                <w:sz w:val="22"/>
                <w:szCs w:val="22"/>
              </w:rPr>
              <w:t xml:space="preserve">Oppilas tunnistaa ohjatusti eettisten valintojen ja tekojen seurauksia. </w:t>
            </w:r>
          </w:p>
        </w:tc>
        <w:tc>
          <w:tcPr>
            <w:tcW w:w="1297" w:type="pct"/>
            <w:tcBorders>
              <w:top w:val="single" w:color="auto" w:sz="4" w:space="0"/>
              <w:left w:val="single" w:color="auto" w:sz="4" w:space="0"/>
              <w:bottom w:val="single" w:color="auto" w:sz="4" w:space="0"/>
              <w:right w:val="single" w:color="auto" w:sz="4" w:space="0"/>
            </w:tcBorders>
            <w:tcMar/>
          </w:tcPr>
          <w:p w:rsidR="006F109D" w:rsidP="00F00383" w:rsidRDefault="006C4BA3" w14:paraId="3ED93911" w14:textId="77777777">
            <w:pPr>
              <w:spacing w:after="0" w:line="240" w:lineRule="auto"/>
              <w:contextualSpacing/>
              <w:rPr>
                <w:rFonts w:cstheme="minorHAnsi"/>
                <w:sz w:val="22"/>
                <w:szCs w:val="22"/>
              </w:rPr>
            </w:pPr>
            <w:r>
              <w:rPr>
                <w:rFonts w:cstheme="minorHAnsi"/>
                <w:sz w:val="22"/>
                <w:szCs w:val="22"/>
              </w:rPr>
              <w:t>Oppilaan arjesta poimitut valinnan paikat (esim. valitsen opiskella, tulla kouluun, nukkua, syödä, nähdä kavereita ym.</w:t>
            </w:r>
            <w:r w:rsidR="006F109D">
              <w:rPr>
                <w:rFonts w:cstheme="minorHAnsi"/>
                <w:sz w:val="22"/>
                <w:szCs w:val="22"/>
              </w:rPr>
              <w:t xml:space="preserve">). Näistä tilanteista löytyvät arvot ja etiikka. </w:t>
            </w:r>
          </w:p>
          <w:p w:rsidRPr="00631B52" w:rsidR="0094496B" w:rsidP="00F00383" w:rsidRDefault="00390B0D" w14:paraId="2503D3FD" w14:textId="4AF89D2B">
            <w:pPr>
              <w:spacing w:after="0" w:line="240" w:lineRule="auto"/>
              <w:contextualSpacing/>
              <w:rPr>
                <w:rFonts w:cstheme="minorHAnsi"/>
                <w:sz w:val="22"/>
                <w:szCs w:val="22"/>
              </w:rPr>
            </w:pPr>
            <w:r>
              <w:rPr>
                <w:rFonts w:cstheme="minorHAnsi"/>
                <w:sz w:val="22"/>
                <w:szCs w:val="22"/>
              </w:rPr>
              <w:t xml:space="preserve">Pelillisyys valinnoissa. Kun valitsen yhden, mitä jätän valitsematta. Mihin valintani johtaa? </w:t>
            </w:r>
            <w:r w:rsidR="0054485D">
              <w:rPr>
                <w:rFonts w:cstheme="minorHAnsi"/>
                <w:sz w:val="22"/>
                <w:szCs w:val="22"/>
              </w:rPr>
              <w:t xml:space="preserve">Miten pienestä valinnasta päädyn isoon valintaan? </w:t>
            </w:r>
          </w:p>
        </w:tc>
      </w:tr>
      <w:tr w:rsidRPr="00631B52" w:rsidR="0094496B" w:rsidTr="59F15E38" w14:paraId="4A199D8B" w14:textId="1EE86355">
        <w:trPr>
          <w:trHeight w:val="284"/>
        </w:trPr>
        <w:tc>
          <w:tcPr>
            <w:tcW w:w="86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0B828A1A" w14:textId="77777777">
            <w:pPr>
              <w:spacing w:after="0" w:line="240" w:lineRule="auto"/>
              <w:ind w:left="40" w:right="100"/>
              <w:contextualSpacing/>
              <w:rPr>
                <w:rFonts w:cstheme="minorHAnsi"/>
                <w:sz w:val="22"/>
                <w:szCs w:val="22"/>
              </w:rPr>
            </w:pPr>
            <w:r w:rsidRPr="00631B52">
              <w:rPr>
                <w:rFonts w:cstheme="minorHAnsi"/>
                <w:sz w:val="22"/>
                <w:szCs w:val="22"/>
              </w:rPr>
              <w:t>T10 rohkaista oppilaita kohtaamaan erilaisia ihmisiä nyt ja tulevaisuudessa jatko-opinnoissa, työelämässä ja vapaa-ajalla</w:t>
            </w:r>
          </w:p>
        </w:tc>
        <w:tc>
          <w:tcPr>
            <w:tcW w:w="311"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29F8D1B3" w14:textId="77777777">
            <w:pPr>
              <w:spacing w:after="0" w:line="240" w:lineRule="auto"/>
              <w:contextualSpacing/>
              <w:rPr>
                <w:rFonts w:cstheme="minorHAnsi"/>
                <w:sz w:val="22"/>
                <w:szCs w:val="22"/>
              </w:rPr>
            </w:pPr>
            <w:r w:rsidRPr="00631B52">
              <w:rPr>
                <w:rFonts w:cstheme="minorHAnsi"/>
                <w:sz w:val="22"/>
                <w:szCs w:val="22"/>
              </w:rPr>
              <w:t>S1, S2, S3</w:t>
            </w:r>
          </w:p>
        </w:tc>
        <w:tc>
          <w:tcPr>
            <w:tcW w:w="1051"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hideMark/>
          </w:tcPr>
          <w:p w:rsidRPr="00631B52" w:rsidR="0094496B" w:rsidP="00F00383" w:rsidRDefault="0094496B" w14:paraId="49919A17" w14:textId="77777777">
            <w:pPr>
              <w:spacing w:after="0" w:line="240" w:lineRule="auto"/>
              <w:contextualSpacing/>
              <w:rPr>
                <w:rFonts w:cstheme="minorHAnsi"/>
                <w:sz w:val="22"/>
                <w:szCs w:val="22"/>
              </w:rPr>
            </w:pPr>
            <w:r w:rsidRPr="00631B52">
              <w:rPr>
                <w:rFonts w:cstheme="minorHAnsi"/>
                <w:sz w:val="22"/>
                <w:szCs w:val="22"/>
              </w:rPr>
              <w:t>Oppilas kehittää valmiuksiaan rakentavaan vuorovaikutukseen erilaisten ihmisten kanssa nyt ja tulevaisuudessa jatko-opinnoissa, työelämässä ja vapaa-ajalla.</w:t>
            </w:r>
          </w:p>
        </w:tc>
        <w:tc>
          <w:tcPr>
            <w:tcW w:w="778"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rsidRPr="00631B52" w:rsidR="0094496B" w:rsidP="00F00383" w:rsidRDefault="0094496B" w14:paraId="71D14AEE" w14:textId="77777777">
            <w:pPr>
              <w:spacing w:after="0" w:line="240" w:lineRule="auto"/>
              <w:contextualSpacing/>
              <w:rPr>
                <w:rFonts w:cstheme="minorHAnsi"/>
                <w:sz w:val="22"/>
                <w:szCs w:val="22"/>
              </w:rPr>
            </w:pPr>
          </w:p>
        </w:tc>
        <w:tc>
          <w:tcPr>
            <w:tcW w:w="703" w:type="pc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hideMark/>
          </w:tcPr>
          <w:p w:rsidRPr="00631B52" w:rsidR="0094496B" w:rsidP="00F00383" w:rsidRDefault="0094496B" w14:paraId="05347FDB" w14:textId="77777777">
            <w:pPr>
              <w:spacing w:after="0" w:line="240" w:lineRule="auto"/>
              <w:contextualSpacing/>
              <w:rPr>
                <w:rFonts w:cstheme="minorHAnsi"/>
                <w:i/>
                <w:iCs/>
                <w:sz w:val="22"/>
                <w:szCs w:val="22"/>
              </w:rPr>
            </w:pPr>
            <w:r w:rsidRPr="00631B52">
              <w:rPr>
                <w:rFonts w:cstheme="minorHAnsi"/>
                <w:i/>
                <w:iCs/>
                <w:sz w:val="22"/>
                <w:szCs w:val="22"/>
              </w:rPr>
              <w:t>Ei vaikuta arvosanan muodostamisessa. Oppilasta ohjataan pohtimaan kokemuksiaan ja valmiuksiaan osana itsearviointia.</w:t>
            </w:r>
          </w:p>
        </w:tc>
        <w:tc>
          <w:tcPr>
            <w:tcW w:w="1297" w:type="pct"/>
            <w:tcBorders>
              <w:top w:val="single" w:color="auto" w:sz="4" w:space="0"/>
              <w:left w:val="single" w:color="auto" w:sz="4" w:space="0"/>
              <w:bottom w:val="single" w:color="auto" w:sz="4" w:space="0"/>
              <w:right w:val="single" w:color="auto" w:sz="4" w:space="0"/>
            </w:tcBorders>
            <w:tcMar/>
          </w:tcPr>
          <w:p w:rsidRPr="00E15195" w:rsidR="0094496B" w:rsidP="00F00383" w:rsidRDefault="00E15195" w14:paraId="54378639" w14:textId="0813E008">
            <w:pPr>
              <w:spacing w:after="0" w:line="240" w:lineRule="auto"/>
              <w:contextualSpacing/>
              <w:rPr>
                <w:rFonts w:cstheme="minorHAnsi"/>
                <w:sz w:val="22"/>
                <w:szCs w:val="22"/>
              </w:rPr>
            </w:pPr>
            <w:proofErr w:type="spellStart"/>
            <w:r>
              <w:rPr>
                <w:rFonts w:cstheme="minorHAnsi"/>
                <w:sz w:val="22"/>
                <w:szCs w:val="22"/>
              </w:rPr>
              <w:t>Huom</w:t>
            </w:r>
            <w:proofErr w:type="spellEnd"/>
            <w:r>
              <w:rPr>
                <w:rFonts w:cstheme="minorHAnsi"/>
                <w:sz w:val="22"/>
                <w:szCs w:val="22"/>
              </w:rPr>
              <w:t>! Itsearvio.</w:t>
            </w:r>
          </w:p>
        </w:tc>
      </w:tr>
    </w:tbl>
    <w:p w:rsidRPr="00631B52" w:rsidR="00C7638B" w:rsidP="00F00383" w:rsidRDefault="00C7638B" w14:paraId="662F700A" w14:textId="77777777">
      <w:pPr>
        <w:spacing w:line="240" w:lineRule="auto"/>
        <w:rPr>
          <w:sz w:val="22"/>
          <w:szCs w:val="22"/>
        </w:rPr>
      </w:pPr>
    </w:p>
    <w:sectPr w:rsidRPr="00631B52" w:rsidR="00C7638B" w:rsidSect="00F74AC3">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6356" w:rsidP="00C24CD8" w:rsidRDefault="00C46356" w14:paraId="0FA5C6FE" w14:textId="77777777">
      <w:pPr>
        <w:spacing w:after="0" w:line="240" w:lineRule="auto"/>
      </w:pPr>
      <w:r>
        <w:separator/>
      </w:r>
    </w:p>
  </w:endnote>
  <w:endnote w:type="continuationSeparator" w:id="0">
    <w:p w:rsidR="00C46356" w:rsidP="00C24CD8" w:rsidRDefault="00C46356" w14:paraId="6C69FE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6356" w:rsidP="00C24CD8" w:rsidRDefault="00C46356" w14:paraId="1CFAF0F5" w14:textId="77777777">
      <w:pPr>
        <w:spacing w:after="0" w:line="240" w:lineRule="auto"/>
      </w:pPr>
      <w:r>
        <w:separator/>
      </w:r>
    </w:p>
  </w:footnote>
  <w:footnote w:type="continuationSeparator" w:id="0">
    <w:p w:rsidR="00C46356" w:rsidP="00C24CD8" w:rsidRDefault="00C46356" w14:paraId="65F6D3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74AC3" w:rsidR="350BCA65" w:rsidP="350BCA65" w:rsidRDefault="350BCA65" w14:paraId="6EF57AD3" w14:textId="64265DCA">
    <w:pPr>
      <w:pStyle w:val="Yltunniste"/>
      <w:rPr>
        <w:sz w:val="22"/>
        <w:szCs w:val="22"/>
      </w:rPr>
    </w:pPr>
    <w:r w:rsidRPr="00F74AC3">
      <w:rPr>
        <w:sz w:val="22"/>
        <w:szCs w:val="22"/>
      </w:rPr>
      <w:fldChar w:fldCharType="begin"/>
    </w:r>
    <w:r w:rsidRPr="00F74AC3">
      <w:rPr>
        <w:sz w:val="22"/>
        <w:szCs w:val="22"/>
      </w:rPr>
      <w:instrText>PAGE</w:instrText>
    </w:r>
    <w:r w:rsidRPr="00F74AC3">
      <w:rPr>
        <w:sz w:val="22"/>
        <w:szCs w:val="22"/>
      </w:rPr>
      <w:fldChar w:fldCharType="separate"/>
    </w:r>
    <w:r w:rsidRPr="00F74AC3" w:rsidR="00F74AC3">
      <w:rPr>
        <w:noProof/>
        <w:sz w:val="22"/>
        <w:szCs w:val="22"/>
      </w:rPr>
      <w:t>1</w:t>
    </w:r>
    <w:r w:rsidRPr="00F74AC3">
      <w:rPr>
        <w:sz w:val="22"/>
        <w:szCs w:val="22"/>
      </w:rPr>
      <w:fldChar w:fldCharType="end"/>
    </w:r>
    <w:r w:rsidRPr="00F74AC3">
      <w:rPr>
        <w:sz w:val="22"/>
        <w:szCs w:val="22"/>
      </w:rPr>
      <w:t xml:space="preserve"> </w:t>
    </w:r>
    <w:r w:rsidR="00F00383">
      <w:rPr>
        <w:sz w:val="22"/>
        <w:szCs w:val="22"/>
      </w:rPr>
      <w:t>–</w:t>
    </w:r>
    <w:r w:rsidR="00F74AC3">
      <w:rPr>
        <w:sz w:val="22"/>
        <w:szCs w:val="22"/>
      </w:rPr>
      <w:t xml:space="preserve"> </w:t>
    </w:r>
    <w:r w:rsidRPr="00F74AC3">
      <w:rPr>
        <w:sz w:val="22"/>
        <w:szCs w:val="22"/>
      </w:rPr>
      <w:t>Uskonto 9lk</w:t>
    </w:r>
    <w:r w:rsidR="00F00383">
      <w:rPr>
        <w:sz w:val="22"/>
        <w:szCs w:val="22"/>
      </w:rPr>
      <w:t xml:space="preserve"> – Arvosana viisi</w:t>
    </w:r>
  </w:p>
  <w:p w:rsidRPr="00F74AC3" w:rsidR="350BCA65" w:rsidP="350BCA65" w:rsidRDefault="350BCA65" w14:paraId="03C6F97D" w14:textId="337E9C4F">
    <w:pPr>
      <w:pStyle w:val="Yltunnis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24929"/>
    <w:multiLevelType w:val="multilevel"/>
    <w:tmpl w:val="DB1EB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E043303"/>
    <w:multiLevelType w:val="multilevel"/>
    <w:tmpl w:val="55145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51172737">
    <w:abstractNumId w:val="1"/>
  </w:num>
  <w:num w:numId="2" w16cid:durableId="115155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6B"/>
    <w:rsid w:val="000B10EE"/>
    <w:rsid w:val="000C4A8A"/>
    <w:rsid w:val="000E7393"/>
    <w:rsid w:val="00302046"/>
    <w:rsid w:val="00390B0D"/>
    <w:rsid w:val="00527CF6"/>
    <w:rsid w:val="0054485D"/>
    <w:rsid w:val="00631B52"/>
    <w:rsid w:val="006C2284"/>
    <w:rsid w:val="006C4BA3"/>
    <w:rsid w:val="006F109D"/>
    <w:rsid w:val="0075139A"/>
    <w:rsid w:val="00756BAE"/>
    <w:rsid w:val="008B2869"/>
    <w:rsid w:val="0093549F"/>
    <w:rsid w:val="0094496B"/>
    <w:rsid w:val="009C1044"/>
    <w:rsid w:val="00AC5552"/>
    <w:rsid w:val="00AF6BAE"/>
    <w:rsid w:val="00C24CD8"/>
    <w:rsid w:val="00C46356"/>
    <w:rsid w:val="00C6391E"/>
    <w:rsid w:val="00C7638B"/>
    <w:rsid w:val="00D34ED7"/>
    <w:rsid w:val="00D65E42"/>
    <w:rsid w:val="00DE1D09"/>
    <w:rsid w:val="00DF02AA"/>
    <w:rsid w:val="00E15195"/>
    <w:rsid w:val="00F00383"/>
    <w:rsid w:val="00F74AC3"/>
    <w:rsid w:val="0779E0FB"/>
    <w:rsid w:val="2007427C"/>
    <w:rsid w:val="22322559"/>
    <w:rsid w:val="33D99BE0"/>
    <w:rsid w:val="350BCA65"/>
    <w:rsid w:val="4347B23C"/>
    <w:rsid w:val="59F15E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B85A"/>
  <w15:chartTrackingRefBased/>
  <w15:docId w15:val="{931C4C9D-30E1-4F68-912B-BB364C8E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94496B"/>
    <w:pPr>
      <w:spacing w:after="120" w:line="264" w:lineRule="auto"/>
    </w:pPr>
    <w:rPr>
      <w:rFonts w:eastAsiaTheme="minorEastAsia"/>
      <w:sz w:val="20"/>
      <w:szCs w:val="2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rsid w:val="00C24CD8"/>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C24CD8"/>
    <w:rPr>
      <w:rFonts w:eastAsiaTheme="minorEastAsia"/>
      <w:sz w:val="20"/>
      <w:szCs w:val="20"/>
    </w:rPr>
  </w:style>
  <w:style w:type="paragraph" w:styleId="Alatunniste">
    <w:name w:val="footer"/>
    <w:basedOn w:val="Normaali"/>
    <w:link w:val="AlatunnisteChar"/>
    <w:uiPriority w:val="99"/>
    <w:unhideWhenUsed/>
    <w:rsid w:val="00C24CD8"/>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C24CD8"/>
    <w:rPr>
      <w:rFonts w:eastAsiaTheme="minorEastAsia"/>
      <w:sz w:val="20"/>
      <w:szCs w:val="2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Kappaleenoletusfontti"/>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3623">
      <w:bodyDiv w:val="1"/>
      <w:marLeft w:val="0"/>
      <w:marRight w:val="0"/>
      <w:marTop w:val="0"/>
      <w:marBottom w:val="0"/>
      <w:divBdr>
        <w:top w:val="none" w:sz="0" w:space="0" w:color="auto"/>
        <w:left w:val="none" w:sz="0" w:space="0" w:color="auto"/>
        <w:bottom w:val="none" w:sz="0" w:space="0" w:color="auto"/>
        <w:right w:val="none" w:sz="0" w:space="0" w:color="auto"/>
      </w:divBdr>
    </w:div>
    <w:div w:id="144785402">
      <w:bodyDiv w:val="1"/>
      <w:marLeft w:val="0"/>
      <w:marRight w:val="0"/>
      <w:marTop w:val="0"/>
      <w:marBottom w:val="0"/>
      <w:divBdr>
        <w:top w:val="none" w:sz="0" w:space="0" w:color="auto"/>
        <w:left w:val="none" w:sz="0" w:space="0" w:color="auto"/>
        <w:bottom w:val="none" w:sz="0" w:space="0" w:color="auto"/>
        <w:right w:val="none" w:sz="0" w:space="0" w:color="auto"/>
      </w:divBdr>
    </w:div>
    <w:div w:id="660502649">
      <w:bodyDiv w:val="1"/>
      <w:marLeft w:val="0"/>
      <w:marRight w:val="0"/>
      <w:marTop w:val="0"/>
      <w:marBottom w:val="0"/>
      <w:divBdr>
        <w:top w:val="none" w:sz="0" w:space="0" w:color="auto"/>
        <w:left w:val="none" w:sz="0" w:space="0" w:color="auto"/>
        <w:bottom w:val="none" w:sz="0" w:space="0" w:color="auto"/>
        <w:right w:val="none" w:sz="0" w:space="0" w:color="auto"/>
      </w:divBdr>
    </w:div>
    <w:div w:id="1096708116">
      <w:bodyDiv w:val="1"/>
      <w:marLeft w:val="0"/>
      <w:marRight w:val="0"/>
      <w:marTop w:val="0"/>
      <w:marBottom w:val="0"/>
      <w:divBdr>
        <w:top w:val="none" w:sz="0" w:space="0" w:color="auto"/>
        <w:left w:val="none" w:sz="0" w:space="0" w:color="auto"/>
        <w:bottom w:val="none" w:sz="0" w:space="0" w:color="auto"/>
        <w:right w:val="none" w:sz="0" w:space="0" w:color="auto"/>
      </w:divBdr>
    </w:div>
    <w:div w:id="141859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ph.fi/fi/koulutus-ja-tutkinnot/evankelisluterilaisen-uskonnon-paattoarvioinnin-tukimateriaali" TargetMode="External" Id="Rf3119b316efa49eb"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39E83-9D85-4744-BFB7-F7F5D79A17E2}">
  <ds:schemaRefs>
    <ds:schemaRef ds:uri="http://schemas.microsoft.com/sharepoint/v3/contenttype/forms"/>
  </ds:schemaRefs>
</ds:datastoreItem>
</file>

<file path=customXml/itemProps2.xml><?xml version="1.0" encoding="utf-8"?>
<ds:datastoreItem xmlns:ds="http://schemas.openxmlformats.org/officeDocument/2006/customXml" ds:itemID="{BE4149D6-F17D-418F-B6CE-5363F38C91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A8A7F3-E59E-423C-A2B8-E164738BBE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29</cp:revision>
  <dcterms:created xsi:type="dcterms:W3CDTF">2023-05-03T12:00:00Z</dcterms:created>
  <dcterms:modified xsi:type="dcterms:W3CDTF">2024-02-01T09:14:16Z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