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600" w:firstRow="0" w:lastRow="0" w:firstColumn="0" w:lastColumn="0" w:noHBand="1" w:noVBand="1"/>
      </w:tblPr>
      <w:tblGrid>
        <w:gridCol w:w="2976"/>
        <w:gridCol w:w="1004"/>
        <w:gridCol w:w="2740"/>
        <w:gridCol w:w="2612"/>
        <w:gridCol w:w="2853"/>
        <w:gridCol w:w="3123"/>
      </w:tblGrid>
      <w:tr w:rsidR="00FC2665" w:rsidRPr="00EC452A" w14:paraId="01FB21AA" w14:textId="77777777" w:rsidTr="501130A6">
        <w:trPr>
          <w:trHeight w:val="284"/>
        </w:trPr>
        <w:tc>
          <w:tcPr>
            <w:tcW w:w="5000" w:type="pct"/>
            <w:gridSpan w:val="6"/>
            <w:shd w:val="clear" w:color="auto" w:fill="auto"/>
            <w:tcMar>
              <w:top w:w="100" w:type="dxa"/>
              <w:left w:w="100" w:type="dxa"/>
              <w:bottom w:w="100" w:type="dxa"/>
              <w:right w:w="100" w:type="dxa"/>
            </w:tcMar>
          </w:tcPr>
          <w:p w14:paraId="15AA0F14" w14:textId="3420B5A8" w:rsidR="00FC2665" w:rsidRPr="00EC452A" w:rsidRDefault="003C5871" w:rsidP="003C5871">
            <w:pPr>
              <w:spacing w:after="0" w:line="240" w:lineRule="auto"/>
              <w:ind w:left="40"/>
              <w:contextualSpacing/>
              <w:rPr>
                <w:rFonts w:cstheme="minorHAnsi"/>
                <w:bCs/>
                <w:sz w:val="22"/>
                <w:szCs w:val="22"/>
              </w:rPr>
            </w:pPr>
            <w:r>
              <w:rPr>
                <w:rFonts w:cstheme="minorHAnsi"/>
                <w:sz w:val="22"/>
                <w:szCs w:val="22"/>
              </w:rPr>
              <w:t>TE 7lk – Arvosana viisi</w:t>
            </w:r>
            <w:r>
              <w:rPr>
                <w:rFonts w:cstheme="minorHAnsi"/>
                <w:b/>
                <w:bCs/>
                <w:sz w:val="22"/>
                <w:szCs w:val="22"/>
              </w:rPr>
              <w:br/>
            </w:r>
            <w:r>
              <w:rPr>
                <w:rFonts w:cstheme="minorHAnsi"/>
                <w:b/>
                <w:bCs/>
                <w:sz w:val="22"/>
                <w:szCs w:val="22"/>
              </w:rPr>
              <w:br/>
            </w:r>
            <w:r w:rsidR="00FC2665" w:rsidRPr="00EC452A">
              <w:rPr>
                <w:rFonts w:cstheme="minorHAnsi"/>
                <w:b/>
                <w:bCs/>
                <w:sz w:val="22"/>
                <w:szCs w:val="22"/>
              </w:rPr>
              <w:t>S1 Terveyttä tukeva kasvu ja kehitys: </w:t>
            </w:r>
            <w:r w:rsidR="00FC2665" w:rsidRPr="00EC452A">
              <w:rPr>
                <w:rFonts w:cstheme="minorHAnsi"/>
                <w:bCs/>
                <w:sz w:val="22"/>
                <w:szCs w:val="22"/>
              </w:rPr>
              <w:t>Sisällöissä painotetaan terveyden eri osa-alueiden kokonaisvaltaista hahmottamista terveyden edistämisen ja sairauksien ehkäisyn näkökulmasta. Opetuksessa käsitellään elämänkulun sekä kasvun ja kehityksen yleisiä tunnuspiirteitä, monimuotoisuutta ja henkilökohtaisuutta. Kasvun ja kehityksen sisällöissä painottuvat identiteetin, minäkuvan ja itsetuntemuksen rakentuminen, seksuaalinen kehittyminen, huolenpidon sekä perheen ja läheisten merkitys, mielen hyvinvointi ja itsensä arvostaminen sekä turvataidot. Tunne- ja vuorovaikutustaitojen sisällöissä kiinnitetään huomiota vuorovaikutustilanteissa toimimiseen, tunteiden ilmaisuun ja niiden säätelyyn. Lisäksi perehdytään ristiriitojen, ongelmatilanteiden, stressin ja kriisien rakentavaan käsittelyyn.</w:t>
            </w:r>
          </w:p>
          <w:p w14:paraId="0EA85538" w14:textId="77777777" w:rsidR="00EF76D9" w:rsidRPr="00EC452A" w:rsidRDefault="00EF76D9" w:rsidP="003C5871">
            <w:pPr>
              <w:numPr>
                <w:ilvl w:val="0"/>
                <w:numId w:val="2"/>
              </w:numPr>
              <w:tabs>
                <w:tab w:val="clear" w:pos="720"/>
              </w:tabs>
              <w:spacing w:after="0" w:line="240" w:lineRule="auto"/>
              <w:ind w:left="322" w:hanging="256"/>
              <w:contextualSpacing/>
              <w:rPr>
                <w:rFonts w:cstheme="minorHAnsi"/>
                <w:bCs/>
                <w:sz w:val="22"/>
                <w:szCs w:val="22"/>
              </w:rPr>
            </w:pPr>
            <w:r w:rsidRPr="00EC452A">
              <w:rPr>
                <w:rFonts w:cstheme="minorHAnsi"/>
                <w:bCs/>
                <w:sz w:val="22"/>
                <w:szCs w:val="22"/>
              </w:rPr>
              <w:t>Terveys käsitteenä, terveyden osa-alueet</w:t>
            </w:r>
          </w:p>
          <w:p w14:paraId="6ADA034F" w14:textId="77777777" w:rsidR="00EF76D9" w:rsidRPr="00EC452A" w:rsidRDefault="00EF76D9" w:rsidP="003C5871">
            <w:pPr>
              <w:numPr>
                <w:ilvl w:val="0"/>
                <w:numId w:val="2"/>
              </w:numPr>
              <w:tabs>
                <w:tab w:val="clear" w:pos="720"/>
              </w:tabs>
              <w:spacing w:after="0" w:line="240" w:lineRule="auto"/>
              <w:ind w:left="322" w:hanging="256"/>
              <w:contextualSpacing/>
              <w:rPr>
                <w:rFonts w:cstheme="minorHAnsi"/>
                <w:bCs/>
                <w:sz w:val="22"/>
                <w:szCs w:val="22"/>
              </w:rPr>
            </w:pPr>
            <w:r w:rsidRPr="00EC452A">
              <w:rPr>
                <w:rFonts w:cstheme="minorHAnsi"/>
                <w:bCs/>
                <w:sz w:val="22"/>
                <w:szCs w:val="22"/>
              </w:rPr>
              <w:t>Itsetunto, minäkuva</w:t>
            </w:r>
          </w:p>
          <w:p w14:paraId="48BDCFDB" w14:textId="77777777" w:rsidR="00EF76D9" w:rsidRPr="00EC452A" w:rsidRDefault="00EF76D9" w:rsidP="003C5871">
            <w:pPr>
              <w:numPr>
                <w:ilvl w:val="0"/>
                <w:numId w:val="2"/>
              </w:numPr>
              <w:tabs>
                <w:tab w:val="clear" w:pos="720"/>
              </w:tabs>
              <w:spacing w:after="0" w:line="240" w:lineRule="auto"/>
              <w:ind w:left="322" w:hanging="256"/>
              <w:contextualSpacing/>
              <w:rPr>
                <w:rFonts w:cstheme="minorHAnsi"/>
                <w:bCs/>
                <w:sz w:val="22"/>
                <w:szCs w:val="22"/>
              </w:rPr>
            </w:pPr>
            <w:r w:rsidRPr="00EC452A">
              <w:rPr>
                <w:rFonts w:cstheme="minorHAnsi"/>
                <w:bCs/>
                <w:sz w:val="22"/>
                <w:szCs w:val="22"/>
              </w:rPr>
              <w:t>Tunne ja vuorovaikutustaidot</w:t>
            </w:r>
          </w:p>
          <w:p w14:paraId="34DBDC9A" w14:textId="77777777" w:rsidR="00EF76D9" w:rsidRPr="00EC452A" w:rsidRDefault="00EF76D9" w:rsidP="003C5871">
            <w:pPr>
              <w:numPr>
                <w:ilvl w:val="0"/>
                <w:numId w:val="2"/>
              </w:numPr>
              <w:tabs>
                <w:tab w:val="clear" w:pos="720"/>
              </w:tabs>
              <w:spacing w:after="0" w:line="240" w:lineRule="auto"/>
              <w:ind w:left="322" w:hanging="256"/>
              <w:contextualSpacing/>
              <w:rPr>
                <w:rFonts w:cstheme="minorHAnsi"/>
                <w:bCs/>
                <w:sz w:val="22"/>
                <w:szCs w:val="22"/>
              </w:rPr>
            </w:pPr>
            <w:r w:rsidRPr="00EC452A">
              <w:rPr>
                <w:rFonts w:cstheme="minorHAnsi"/>
                <w:bCs/>
                <w:sz w:val="22"/>
                <w:szCs w:val="22"/>
              </w:rPr>
              <w:t>Ristiriita- ja kriisitilanteet</w:t>
            </w:r>
          </w:p>
          <w:p w14:paraId="71AAC3D4" w14:textId="77777777" w:rsidR="00EF76D9" w:rsidRPr="00EC452A" w:rsidRDefault="00EF76D9" w:rsidP="003C5871">
            <w:pPr>
              <w:numPr>
                <w:ilvl w:val="0"/>
                <w:numId w:val="2"/>
              </w:numPr>
              <w:tabs>
                <w:tab w:val="clear" w:pos="720"/>
              </w:tabs>
              <w:spacing w:after="0" w:line="240" w:lineRule="auto"/>
              <w:ind w:left="322" w:hanging="256"/>
              <w:contextualSpacing/>
              <w:rPr>
                <w:rFonts w:cstheme="minorHAnsi"/>
                <w:bCs/>
                <w:sz w:val="22"/>
                <w:szCs w:val="22"/>
              </w:rPr>
            </w:pPr>
            <w:r w:rsidRPr="00EC452A">
              <w:rPr>
                <w:rFonts w:cstheme="minorHAnsi"/>
                <w:bCs/>
                <w:sz w:val="22"/>
                <w:szCs w:val="22"/>
              </w:rPr>
              <w:t>Taitoja tulla toimeen itsensä ja muiden kanssa</w:t>
            </w:r>
          </w:p>
          <w:p w14:paraId="3F278B96" w14:textId="77777777" w:rsidR="00EF76D9" w:rsidRPr="00EC452A" w:rsidRDefault="00EF76D9" w:rsidP="003C5871">
            <w:pPr>
              <w:numPr>
                <w:ilvl w:val="0"/>
                <w:numId w:val="2"/>
              </w:numPr>
              <w:tabs>
                <w:tab w:val="clear" w:pos="720"/>
              </w:tabs>
              <w:spacing w:after="0" w:line="240" w:lineRule="auto"/>
              <w:ind w:left="322" w:hanging="256"/>
              <w:contextualSpacing/>
              <w:rPr>
                <w:rFonts w:cstheme="minorHAnsi"/>
                <w:bCs/>
                <w:sz w:val="22"/>
                <w:szCs w:val="22"/>
              </w:rPr>
            </w:pPr>
            <w:r w:rsidRPr="00EC452A">
              <w:rPr>
                <w:rFonts w:cstheme="minorHAnsi"/>
                <w:bCs/>
                <w:sz w:val="22"/>
                <w:szCs w:val="22"/>
              </w:rPr>
              <w:t>Kasvu aikuiseksi, matkalla mieheksi ja naiseksi</w:t>
            </w:r>
          </w:p>
          <w:p w14:paraId="4483E6D3" w14:textId="220FA78E" w:rsidR="00FC2665" w:rsidRPr="00EC452A" w:rsidRDefault="00EF76D9" w:rsidP="003C5871">
            <w:pPr>
              <w:numPr>
                <w:ilvl w:val="0"/>
                <w:numId w:val="2"/>
              </w:numPr>
              <w:tabs>
                <w:tab w:val="clear" w:pos="720"/>
              </w:tabs>
              <w:spacing w:after="0" w:line="240" w:lineRule="auto"/>
              <w:ind w:left="322" w:hanging="256"/>
              <w:contextualSpacing/>
              <w:rPr>
                <w:rFonts w:cstheme="minorHAnsi"/>
                <w:bCs/>
                <w:sz w:val="22"/>
                <w:szCs w:val="22"/>
              </w:rPr>
            </w:pPr>
            <w:r w:rsidRPr="00EC452A">
              <w:rPr>
                <w:rFonts w:cstheme="minorHAnsi"/>
                <w:bCs/>
                <w:sz w:val="22"/>
                <w:szCs w:val="22"/>
              </w:rPr>
              <w:t>Elämänkulku</w:t>
            </w:r>
          </w:p>
          <w:p w14:paraId="3A069522" w14:textId="77777777" w:rsidR="003C5871" w:rsidRDefault="003C5871" w:rsidP="003C5871">
            <w:pPr>
              <w:spacing w:after="0" w:line="240" w:lineRule="auto"/>
              <w:ind w:left="40"/>
              <w:contextualSpacing/>
              <w:rPr>
                <w:rFonts w:cstheme="minorHAnsi"/>
                <w:b/>
                <w:bCs/>
                <w:sz w:val="22"/>
                <w:szCs w:val="22"/>
              </w:rPr>
            </w:pPr>
          </w:p>
          <w:p w14:paraId="3811212C" w14:textId="65E5C013" w:rsidR="00FC2665" w:rsidRPr="00EC452A" w:rsidRDefault="00FC2665" w:rsidP="003C5871">
            <w:pPr>
              <w:spacing w:after="0" w:line="240" w:lineRule="auto"/>
              <w:ind w:left="40"/>
              <w:contextualSpacing/>
              <w:rPr>
                <w:rFonts w:cstheme="minorHAnsi"/>
                <w:bCs/>
                <w:sz w:val="22"/>
                <w:szCs w:val="22"/>
              </w:rPr>
            </w:pPr>
            <w:r w:rsidRPr="00EC452A">
              <w:rPr>
                <w:rFonts w:cstheme="minorHAnsi"/>
                <w:b/>
                <w:bCs/>
                <w:sz w:val="22"/>
                <w:szCs w:val="22"/>
              </w:rPr>
              <w:t>S2 Terveyttä tukevat ja kuluttavat tekijät sekä sairauksien ehkäisy: </w:t>
            </w:r>
            <w:r w:rsidRPr="00EC452A">
              <w:rPr>
                <w:rFonts w:cstheme="minorHAnsi"/>
                <w:bCs/>
                <w:sz w:val="22"/>
                <w:szCs w:val="22"/>
              </w:rPr>
              <w:t>Sisältöjä valitaan syventäen tietoa ja ymmärrystä terveyttä tukevista voimavaroista ja sairauksia ehkäisevistä tekijöistä. Terveyteen liittyvistä tottumuksista käsitellään arkirytmi, uni, ravitsemus ja liikunta. Sisällöissä perehdytään seksuaalisuuteen, seksuaaliterveyden eri osa-alueisiin ja seksuaalisen kehityksen monimuotoisuuteen. Terveyden voimavaroista tarkastellaan mielenterveyttä, hyvinvointia tukevia ympäristöjä ja yhteisöjä sekä mielekästä vapaa-ajan toimintaa. Lisäksi käsitellään turvallisuustaitoja ja -valmiuksia, ensiaputaitoja, itsehoitoa sekä tuen ja avun hakemista. Sisältöjä valittaessa otetaan huomioon myös ajankohtaisia terveysilmiöitä sekä tarkastellaan terveyteen liittyvän tiedon luotettavuutta.</w:t>
            </w:r>
          </w:p>
          <w:p w14:paraId="04326397" w14:textId="133B0FC9" w:rsidR="00FC2665" w:rsidRPr="00EC452A" w:rsidRDefault="00FC2665" w:rsidP="003C5871">
            <w:pPr>
              <w:spacing w:after="0" w:line="240" w:lineRule="auto"/>
              <w:ind w:left="40"/>
              <w:contextualSpacing/>
              <w:rPr>
                <w:rFonts w:cstheme="minorHAnsi"/>
                <w:bCs/>
                <w:sz w:val="22"/>
                <w:szCs w:val="22"/>
              </w:rPr>
            </w:pPr>
            <w:r w:rsidRPr="00EC452A">
              <w:rPr>
                <w:rFonts w:cstheme="minorHAnsi"/>
                <w:bCs/>
                <w:sz w:val="22"/>
                <w:szCs w:val="22"/>
              </w:rPr>
              <w:t>Terveyden vaaratekijöistä nostetaan esiin liikkumattomuus ja passiivinen elämäntapa, ravitsemuksen ja nukkumisen ongelmat, kiusaaminen ja stressi. Sisällöissä otetaan huomioon nuoren mielen pahoinvointi, riippuvuudet sekä päihteet ja niiden käytön ehkäisy. Sairauksien ehkäisyyn liittyvistä sisällöistä valitaan keskeiset ja ajankohtaiset tartuntataudit sekä kansantaudit ja tapaturmat.</w:t>
            </w:r>
          </w:p>
          <w:p w14:paraId="10C59923" w14:textId="77777777" w:rsidR="00DF2601" w:rsidRPr="00EC452A" w:rsidRDefault="00DF2601" w:rsidP="003C5871">
            <w:pPr>
              <w:numPr>
                <w:ilvl w:val="0"/>
                <w:numId w:val="3"/>
              </w:numPr>
              <w:tabs>
                <w:tab w:val="clear" w:pos="720"/>
              </w:tabs>
              <w:spacing w:after="0" w:line="240" w:lineRule="auto"/>
              <w:ind w:left="322" w:hanging="256"/>
              <w:contextualSpacing/>
              <w:rPr>
                <w:rFonts w:cstheme="minorHAnsi"/>
                <w:bCs/>
                <w:sz w:val="22"/>
                <w:szCs w:val="22"/>
              </w:rPr>
            </w:pPr>
            <w:r w:rsidRPr="00EC452A">
              <w:rPr>
                <w:rFonts w:cstheme="minorHAnsi"/>
                <w:bCs/>
                <w:sz w:val="22"/>
                <w:szCs w:val="22"/>
              </w:rPr>
              <w:t>Terveyttä tukevat elintavat ja arjen valinnat (esimerkiksi arkirytmi, hygienia, suun terveys, riittävä uni ja lepo, hyvinvointia liikunnasta)</w:t>
            </w:r>
          </w:p>
          <w:p w14:paraId="079097AE" w14:textId="77777777" w:rsidR="00DF2601" w:rsidRPr="00EC452A" w:rsidRDefault="00DF2601" w:rsidP="003C5871">
            <w:pPr>
              <w:numPr>
                <w:ilvl w:val="0"/>
                <w:numId w:val="3"/>
              </w:numPr>
              <w:tabs>
                <w:tab w:val="clear" w:pos="720"/>
              </w:tabs>
              <w:spacing w:after="0" w:line="240" w:lineRule="auto"/>
              <w:ind w:left="322" w:hanging="256"/>
              <w:contextualSpacing/>
              <w:rPr>
                <w:rFonts w:cstheme="minorHAnsi"/>
                <w:bCs/>
                <w:sz w:val="22"/>
                <w:szCs w:val="22"/>
              </w:rPr>
            </w:pPr>
            <w:r w:rsidRPr="00EC452A">
              <w:rPr>
                <w:rFonts w:cstheme="minorHAnsi"/>
                <w:bCs/>
                <w:sz w:val="22"/>
                <w:szCs w:val="22"/>
              </w:rPr>
              <w:t>Terveyden ylläpitäminen (esimerkiksi itsehoito, tartuntataudeilta suojautuminen, sään mukainen pukeutuminen, mielen hyvinvoinnista huolehtiminen)</w:t>
            </w:r>
          </w:p>
          <w:p w14:paraId="5BD95168" w14:textId="4D0403AF" w:rsidR="00FC2665" w:rsidRPr="00EC452A" w:rsidRDefault="00DF2601" w:rsidP="003C5871">
            <w:pPr>
              <w:numPr>
                <w:ilvl w:val="0"/>
                <w:numId w:val="3"/>
              </w:numPr>
              <w:tabs>
                <w:tab w:val="clear" w:pos="720"/>
              </w:tabs>
              <w:spacing w:after="0" w:line="240" w:lineRule="auto"/>
              <w:ind w:left="322" w:hanging="256"/>
              <w:contextualSpacing/>
              <w:rPr>
                <w:rFonts w:cstheme="minorHAnsi"/>
                <w:bCs/>
                <w:sz w:val="22"/>
                <w:szCs w:val="22"/>
              </w:rPr>
            </w:pPr>
            <w:r w:rsidRPr="00EC452A">
              <w:rPr>
                <w:rFonts w:cstheme="minorHAnsi"/>
                <w:bCs/>
                <w:sz w:val="22"/>
                <w:szCs w:val="22"/>
              </w:rPr>
              <w:t>Riippuvuudet, päihteet (esimerkiksi tupakka ja nuuska)</w:t>
            </w:r>
          </w:p>
          <w:p w14:paraId="319CC5DE" w14:textId="77777777" w:rsidR="003C5871" w:rsidRDefault="003C5871" w:rsidP="003C5871">
            <w:pPr>
              <w:spacing w:after="0" w:line="240" w:lineRule="auto"/>
              <w:ind w:left="40"/>
              <w:contextualSpacing/>
              <w:rPr>
                <w:rFonts w:cstheme="minorHAnsi"/>
                <w:b/>
                <w:bCs/>
                <w:sz w:val="22"/>
                <w:szCs w:val="22"/>
              </w:rPr>
            </w:pPr>
          </w:p>
          <w:p w14:paraId="1C2339BA" w14:textId="29941956" w:rsidR="00FC2665" w:rsidRPr="00EC452A" w:rsidRDefault="00FC2665" w:rsidP="003C5871">
            <w:pPr>
              <w:spacing w:after="0" w:line="240" w:lineRule="auto"/>
              <w:ind w:left="40"/>
              <w:contextualSpacing/>
              <w:rPr>
                <w:rFonts w:cstheme="minorHAnsi"/>
                <w:bCs/>
                <w:sz w:val="22"/>
                <w:szCs w:val="22"/>
              </w:rPr>
            </w:pPr>
            <w:r w:rsidRPr="00EC452A">
              <w:rPr>
                <w:rFonts w:cstheme="minorHAnsi"/>
                <w:b/>
                <w:bCs/>
                <w:sz w:val="22"/>
                <w:szCs w:val="22"/>
              </w:rPr>
              <w:t>S3 Terveys, yhteisöt, yhteiskunta ja kulttuuri: </w:t>
            </w:r>
            <w:r w:rsidRPr="00EC452A">
              <w:rPr>
                <w:rFonts w:cstheme="minorHAnsi"/>
                <w:bCs/>
                <w:sz w:val="22"/>
                <w:szCs w:val="22"/>
              </w:rPr>
              <w:t>Sisällöissä otetaan esille opiskelu-, työ- ja toimintakyky nuoruudessa. Kestävää elämäntapaa tarkastellessa otetaan huomioon sosiaalinen kestävyys ja vastuullinen kuluttaminen. Elinympäristön terveysvaikutuksia käsiteltäessä nostetaan esille keskeisiä terveyden edistämisen ja sairauksien ehkäisyn keinoja, terveyspalvelut, kansalaistoiminta ja ympäristön terveysriskit.</w:t>
            </w:r>
          </w:p>
          <w:p w14:paraId="558C695D" w14:textId="77777777" w:rsidR="00FC2665" w:rsidRPr="00EC452A" w:rsidRDefault="00FC2665" w:rsidP="003C5871">
            <w:pPr>
              <w:spacing w:after="0" w:line="240" w:lineRule="auto"/>
              <w:ind w:left="40"/>
              <w:contextualSpacing/>
              <w:rPr>
                <w:rFonts w:cstheme="minorHAnsi"/>
                <w:bCs/>
                <w:sz w:val="22"/>
                <w:szCs w:val="22"/>
              </w:rPr>
            </w:pPr>
            <w:r w:rsidRPr="00EC452A">
              <w:rPr>
                <w:rFonts w:cstheme="minorHAnsi"/>
                <w:bCs/>
                <w:sz w:val="22"/>
                <w:szCs w:val="22"/>
              </w:rPr>
              <w:t>Tietolähteitä, erilaisia terveysmarkkinoinnin ja vaikuttamisen keinoja tarkastellaan erityisesti tiedon luotettavuuden ja terveysvaikutusten näkökulmasta. Terveyden edistämisen sisällöissä otetaan huomioon kulttuurin terveyttä edistävä merkitys ja kulttuurinen herkkyys, kestävä elämäntapa, kansalaisten yhdenvertaisuus ja osallisuus sekä ihmisoikeuksien kunnioittaminen. Sisältöjä käsiteltäessä otetaan huomioon eri näkökulmia kuten lapsuus ja lasten oikeudet, vanhuus, vammaisuus tai pitkäaikaissairaus.</w:t>
            </w:r>
          </w:p>
          <w:p w14:paraId="51ECF680" w14:textId="77777777" w:rsidR="00DF2601" w:rsidRPr="00EC452A" w:rsidRDefault="00DF2601" w:rsidP="003C5871">
            <w:pPr>
              <w:numPr>
                <w:ilvl w:val="0"/>
                <w:numId w:val="4"/>
              </w:numPr>
              <w:tabs>
                <w:tab w:val="clear" w:pos="720"/>
              </w:tabs>
              <w:spacing w:after="0" w:line="240" w:lineRule="auto"/>
              <w:ind w:left="322" w:hanging="256"/>
              <w:contextualSpacing/>
              <w:rPr>
                <w:rFonts w:cstheme="minorHAnsi"/>
                <w:bCs/>
                <w:sz w:val="22"/>
                <w:szCs w:val="22"/>
              </w:rPr>
            </w:pPr>
            <w:r w:rsidRPr="00EC452A">
              <w:rPr>
                <w:rFonts w:cstheme="minorHAnsi"/>
                <w:bCs/>
                <w:sz w:val="22"/>
                <w:szCs w:val="22"/>
              </w:rPr>
              <w:t>Turvallisuus (esim. turvallinen koulupäivä, mediaturvallisuus)</w:t>
            </w:r>
          </w:p>
          <w:p w14:paraId="5DB19DAF" w14:textId="1FF60D16" w:rsidR="00DF2601" w:rsidRPr="00EC452A" w:rsidRDefault="00DF2601" w:rsidP="003C5871">
            <w:pPr>
              <w:numPr>
                <w:ilvl w:val="0"/>
                <w:numId w:val="4"/>
              </w:numPr>
              <w:tabs>
                <w:tab w:val="clear" w:pos="720"/>
              </w:tabs>
              <w:spacing w:after="0" w:line="240" w:lineRule="auto"/>
              <w:ind w:left="322" w:hanging="256"/>
              <w:contextualSpacing/>
              <w:rPr>
                <w:rFonts w:cstheme="minorHAnsi"/>
                <w:bCs/>
                <w:sz w:val="22"/>
                <w:szCs w:val="22"/>
              </w:rPr>
            </w:pPr>
            <w:r w:rsidRPr="00EC452A">
              <w:rPr>
                <w:rFonts w:cstheme="minorHAnsi"/>
                <w:bCs/>
                <w:sz w:val="22"/>
                <w:szCs w:val="22"/>
              </w:rPr>
              <w:t>Liikenneturvallisuus (jalankulkijan ja pyöräilijän turvallinen liikennekulttuuri)</w:t>
            </w:r>
          </w:p>
        </w:tc>
      </w:tr>
      <w:tr w:rsidR="00FC2665" w:rsidRPr="00EC452A" w14:paraId="74368B11" w14:textId="77777777" w:rsidTr="501130A6">
        <w:trPr>
          <w:trHeight w:val="284"/>
        </w:trPr>
        <w:tc>
          <w:tcPr>
            <w:tcW w:w="5000" w:type="pct"/>
            <w:gridSpan w:val="6"/>
            <w:shd w:val="clear" w:color="auto" w:fill="FFF2CC" w:themeFill="accent4" w:themeFillTint="33"/>
            <w:tcMar>
              <w:top w:w="100" w:type="dxa"/>
              <w:left w:w="100" w:type="dxa"/>
              <w:bottom w:w="100" w:type="dxa"/>
              <w:right w:w="100" w:type="dxa"/>
            </w:tcMar>
          </w:tcPr>
          <w:p w14:paraId="5AA0CBEC" w14:textId="77777777" w:rsidR="00FC2665" w:rsidRDefault="6C9799FF" w:rsidP="501130A6">
            <w:pPr>
              <w:spacing w:after="0" w:line="240" w:lineRule="auto"/>
              <w:ind w:left="40"/>
              <w:contextualSpacing/>
              <w:rPr>
                <w:rFonts w:ascii="Calibri" w:eastAsia="Calibri" w:hAnsi="Calibri" w:cs="Calibri"/>
                <w:color w:val="000000" w:themeColor="text1"/>
                <w:sz w:val="22"/>
                <w:szCs w:val="22"/>
              </w:rPr>
            </w:pPr>
            <w:r w:rsidRPr="501130A6">
              <w:rPr>
                <w:rFonts w:ascii="Calibri" w:eastAsia="Calibri" w:hAnsi="Calibri" w:cs="Calibri"/>
                <w:color w:val="000000" w:themeColor="text1"/>
                <w:sz w:val="22"/>
                <w:szCs w:val="22"/>
              </w:rPr>
              <w:lastRenderedPageBreak/>
              <w:t xml:space="preserve">OPH:n tukimateriaali päättöarviointiin: </w:t>
            </w:r>
            <w:hyperlink r:id="rId10">
              <w:r w:rsidR="5F9CB4C5" w:rsidRPr="501130A6">
                <w:rPr>
                  <w:rStyle w:val="Hyperlinkki"/>
                  <w:rFonts w:ascii="Calibri" w:eastAsia="Calibri" w:hAnsi="Calibri" w:cs="Calibri"/>
                  <w:sz w:val="22"/>
                  <w:szCs w:val="22"/>
                </w:rPr>
                <w:t>https://www.oph.fi/fi/koulutus-ja-tutkinnot/terveystiedon-paattoarvioinnin-tukimateriaali</w:t>
              </w:r>
            </w:hyperlink>
            <w:r w:rsidR="5F9CB4C5" w:rsidRPr="501130A6">
              <w:rPr>
                <w:rFonts w:ascii="Calibri" w:eastAsia="Calibri" w:hAnsi="Calibri" w:cs="Calibri"/>
                <w:color w:val="000000" w:themeColor="text1"/>
                <w:sz w:val="22"/>
                <w:szCs w:val="22"/>
              </w:rPr>
              <w:t xml:space="preserve"> </w:t>
            </w:r>
          </w:p>
          <w:p w14:paraId="2AD6242D" w14:textId="1EB979D1" w:rsidR="00BD2BBC" w:rsidRPr="00EC452A" w:rsidRDefault="006F67CF" w:rsidP="501130A6">
            <w:pPr>
              <w:spacing w:after="0" w:line="240" w:lineRule="auto"/>
              <w:ind w:left="40"/>
              <w:contextualSpacing/>
              <w:rPr>
                <w:rFonts w:ascii="Calibri" w:eastAsia="Calibri" w:hAnsi="Calibri" w:cs="Calibri"/>
                <w:sz w:val="22"/>
                <w:szCs w:val="22"/>
              </w:rPr>
            </w:pPr>
            <w:r w:rsidRPr="006F67CF">
              <w:rPr>
                <w:rFonts w:ascii="Calibri" w:eastAsia="Calibri" w:hAnsi="Calibri" w:cs="Calibri"/>
                <w:sz w:val="22"/>
                <w:szCs w:val="22"/>
              </w:rPr>
              <w:t xml:space="preserve">Tavoitteet T1-T4 arvioidaan ainoastaan vuosiluokalla 7 Jyväskylän </w:t>
            </w:r>
            <w:proofErr w:type="spellStart"/>
            <w:r w:rsidRPr="006F67CF">
              <w:rPr>
                <w:rFonts w:ascii="Calibri" w:eastAsia="Calibri" w:hAnsi="Calibri" w:cs="Calibri"/>
                <w:sz w:val="22"/>
                <w:szCs w:val="22"/>
              </w:rPr>
              <w:t>vuosiluokkaistamisten</w:t>
            </w:r>
            <w:proofErr w:type="spellEnd"/>
            <w:r w:rsidRPr="006F67CF">
              <w:rPr>
                <w:rFonts w:ascii="Calibri" w:eastAsia="Calibri" w:hAnsi="Calibri" w:cs="Calibri"/>
                <w:sz w:val="22"/>
                <w:szCs w:val="22"/>
              </w:rPr>
              <w:t xml:space="preserve"> mukaisesti.</w:t>
            </w:r>
          </w:p>
        </w:tc>
      </w:tr>
      <w:tr w:rsidR="00FC2665" w:rsidRPr="00EC452A" w14:paraId="7564E243" w14:textId="3812FB7C" w:rsidTr="501130A6">
        <w:trPr>
          <w:trHeight w:val="284"/>
        </w:trPr>
        <w:tc>
          <w:tcPr>
            <w:tcW w:w="972" w:type="pct"/>
            <w:shd w:val="clear" w:color="auto" w:fill="B4C6E7" w:themeFill="accent1" w:themeFillTint="66"/>
            <w:tcMar>
              <w:top w:w="100" w:type="dxa"/>
              <w:left w:w="100" w:type="dxa"/>
              <w:bottom w:w="100" w:type="dxa"/>
              <w:right w:w="100" w:type="dxa"/>
            </w:tcMar>
          </w:tcPr>
          <w:p w14:paraId="62E2C1EA" w14:textId="77777777" w:rsidR="00FC2665" w:rsidRPr="00EC452A" w:rsidRDefault="00FC2665" w:rsidP="003C5871">
            <w:pPr>
              <w:spacing w:after="0" w:line="240" w:lineRule="auto"/>
              <w:ind w:left="40"/>
              <w:contextualSpacing/>
              <w:rPr>
                <w:rFonts w:cstheme="minorHAnsi"/>
                <w:b/>
                <w:sz w:val="22"/>
                <w:szCs w:val="22"/>
              </w:rPr>
            </w:pPr>
            <w:r w:rsidRPr="00EC452A">
              <w:rPr>
                <w:rFonts w:cstheme="minorHAnsi"/>
                <w:b/>
                <w:sz w:val="22"/>
                <w:szCs w:val="22"/>
              </w:rPr>
              <w:t>Opetuksen tavoite</w:t>
            </w:r>
          </w:p>
          <w:p w14:paraId="30362931" w14:textId="77777777" w:rsidR="00FC2665" w:rsidRPr="00EC452A" w:rsidRDefault="00FC2665" w:rsidP="003C5871">
            <w:pPr>
              <w:spacing w:after="0" w:line="240" w:lineRule="auto"/>
              <w:ind w:left="40"/>
              <w:contextualSpacing/>
              <w:rPr>
                <w:rFonts w:cstheme="minorHAnsi"/>
                <w:b/>
                <w:sz w:val="22"/>
                <w:szCs w:val="22"/>
              </w:rPr>
            </w:pPr>
          </w:p>
        </w:tc>
        <w:tc>
          <w:tcPr>
            <w:tcW w:w="328" w:type="pct"/>
            <w:shd w:val="clear" w:color="auto" w:fill="B4C6E7" w:themeFill="accent1" w:themeFillTint="66"/>
            <w:tcMar>
              <w:top w:w="100" w:type="dxa"/>
              <w:left w:w="100" w:type="dxa"/>
              <w:bottom w:w="100" w:type="dxa"/>
              <w:right w:w="100" w:type="dxa"/>
            </w:tcMar>
          </w:tcPr>
          <w:p w14:paraId="28D707F5" w14:textId="52E16519" w:rsidR="00FC2665" w:rsidRPr="00EC452A" w:rsidRDefault="00FC2665" w:rsidP="003C5871">
            <w:pPr>
              <w:spacing w:after="0" w:line="240" w:lineRule="auto"/>
              <w:ind w:left="40"/>
              <w:contextualSpacing/>
              <w:rPr>
                <w:rFonts w:cstheme="minorHAnsi"/>
                <w:b/>
                <w:sz w:val="22"/>
                <w:szCs w:val="22"/>
              </w:rPr>
            </w:pPr>
            <w:r w:rsidRPr="00EC452A">
              <w:rPr>
                <w:rFonts w:cstheme="minorHAnsi"/>
                <w:b/>
                <w:sz w:val="22"/>
                <w:szCs w:val="22"/>
              </w:rPr>
              <w:t>Sisältö-alueet</w:t>
            </w:r>
          </w:p>
        </w:tc>
        <w:tc>
          <w:tcPr>
            <w:tcW w:w="895" w:type="pct"/>
            <w:shd w:val="clear" w:color="auto" w:fill="B4C6E7" w:themeFill="accent1" w:themeFillTint="66"/>
            <w:tcMar>
              <w:top w:w="100" w:type="dxa"/>
              <w:left w:w="100" w:type="dxa"/>
              <w:bottom w:w="100" w:type="dxa"/>
              <w:right w:w="100" w:type="dxa"/>
            </w:tcMar>
          </w:tcPr>
          <w:p w14:paraId="5C58FC99" w14:textId="77777777" w:rsidR="00FC2665" w:rsidRPr="00EC452A" w:rsidRDefault="00FC2665" w:rsidP="003C5871">
            <w:pPr>
              <w:spacing w:after="0" w:line="240" w:lineRule="auto"/>
              <w:ind w:left="40"/>
              <w:contextualSpacing/>
              <w:rPr>
                <w:rFonts w:cstheme="minorHAnsi"/>
                <w:b/>
                <w:sz w:val="22"/>
                <w:szCs w:val="22"/>
              </w:rPr>
            </w:pPr>
            <w:r w:rsidRPr="00EC452A">
              <w:rPr>
                <w:rFonts w:cstheme="minorHAnsi"/>
                <w:b/>
                <w:sz w:val="22"/>
                <w:szCs w:val="22"/>
              </w:rPr>
              <w:t>Opetuksen tavoitteista johdetut oppimisen tavoitteet</w:t>
            </w:r>
          </w:p>
        </w:tc>
        <w:tc>
          <w:tcPr>
            <w:tcW w:w="853" w:type="pct"/>
            <w:shd w:val="clear" w:color="auto" w:fill="B4C6E7" w:themeFill="accent1" w:themeFillTint="66"/>
            <w:tcMar>
              <w:top w:w="100" w:type="dxa"/>
              <w:left w:w="100" w:type="dxa"/>
              <w:bottom w:w="100" w:type="dxa"/>
              <w:right w:w="100" w:type="dxa"/>
            </w:tcMar>
          </w:tcPr>
          <w:p w14:paraId="5CDF5511" w14:textId="77777777" w:rsidR="00FC2665" w:rsidRPr="00EC452A" w:rsidRDefault="00FC2665" w:rsidP="003C5871">
            <w:pPr>
              <w:spacing w:after="0" w:line="240" w:lineRule="auto"/>
              <w:ind w:left="40"/>
              <w:contextualSpacing/>
              <w:rPr>
                <w:rFonts w:cstheme="minorHAnsi"/>
                <w:b/>
                <w:sz w:val="22"/>
                <w:szCs w:val="22"/>
              </w:rPr>
            </w:pPr>
            <w:r w:rsidRPr="00EC452A">
              <w:rPr>
                <w:rFonts w:cstheme="minorHAnsi"/>
                <w:b/>
                <w:sz w:val="22"/>
                <w:szCs w:val="22"/>
              </w:rPr>
              <w:t xml:space="preserve">Arvioinnin kohde </w:t>
            </w:r>
          </w:p>
        </w:tc>
        <w:tc>
          <w:tcPr>
            <w:tcW w:w="932" w:type="pct"/>
            <w:shd w:val="clear" w:color="auto" w:fill="B4C6E7" w:themeFill="accent1" w:themeFillTint="66"/>
            <w:tcMar>
              <w:top w:w="100" w:type="dxa"/>
              <w:left w:w="100" w:type="dxa"/>
              <w:bottom w:w="100" w:type="dxa"/>
              <w:right w:w="100" w:type="dxa"/>
            </w:tcMar>
          </w:tcPr>
          <w:p w14:paraId="7ECF650F" w14:textId="77777777" w:rsidR="00FC2665" w:rsidRPr="00EC452A" w:rsidRDefault="00FC2665" w:rsidP="003C5871">
            <w:pPr>
              <w:spacing w:after="0" w:line="240" w:lineRule="auto"/>
              <w:ind w:left="40"/>
              <w:contextualSpacing/>
              <w:rPr>
                <w:rFonts w:cstheme="minorHAnsi"/>
                <w:b/>
                <w:sz w:val="22"/>
                <w:szCs w:val="22"/>
              </w:rPr>
            </w:pPr>
            <w:r w:rsidRPr="00EC452A">
              <w:rPr>
                <w:rFonts w:cstheme="minorHAnsi"/>
                <w:b/>
                <w:sz w:val="22"/>
                <w:szCs w:val="22"/>
              </w:rPr>
              <w:t>Osaamisen kuvaus arvosanalle 5</w:t>
            </w:r>
          </w:p>
        </w:tc>
        <w:tc>
          <w:tcPr>
            <w:tcW w:w="1020" w:type="pct"/>
            <w:shd w:val="clear" w:color="auto" w:fill="B4C6E7" w:themeFill="accent1" w:themeFillTint="66"/>
          </w:tcPr>
          <w:p w14:paraId="4B469126" w14:textId="199E520A" w:rsidR="00FC2665" w:rsidRPr="00EC452A" w:rsidRDefault="00FC2665" w:rsidP="003C5871">
            <w:pPr>
              <w:spacing w:after="0" w:line="240" w:lineRule="auto"/>
              <w:ind w:left="40"/>
              <w:contextualSpacing/>
              <w:rPr>
                <w:rFonts w:cstheme="minorHAnsi"/>
                <w:b/>
                <w:sz w:val="22"/>
                <w:szCs w:val="22"/>
              </w:rPr>
            </w:pPr>
            <w:r w:rsidRPr="00EC452A">
              <w:rPr>
                <w:rFonts w:cstheme="minorHAnsi"/>
                <w:b/>
                <w:sz w:val="22"/>
                <w:szCs w:val="22"/>
              </w:rPr>
              <w:t>Käytännönläheiset esimerkit</w:t>
            </w:r>
          </w:p>
        </w:tc>
      </w:tr>
      <w:tr w:rsidR="00FC2665" w:rsidRPr="00EC452A" w14:paraId="511A1958" w14:textId="6D3B351F" w:rsidTr="501130A6">
        <w:trPr>
          <w:trHeight w:val="284"/>
        </w:trPr>
        <w:tc>
          <w:tcPr>
            <w:tcW w:w="972" w:type="pct"/>
            <w:tcMar>
              <w:top w:w="100" w:type="dxa"/>
              <w:left w:w="100" w:type="dxa"/>
              <w:bottom w:w="100" w:type="dxa"/>
              <w:right w:w="100" w:type="dxa"/>
            </w:tcMar>
          </w:tcPr>
          <w:p w14:paraId="3A49213F" w14:textId="77777777" w:rsidR="00FC2665" w:rsidRPr="00EC452A" w:rsidRDefault="00FC2665" w:rsidP="003C5871">
            <w:pPr>
              <w:spacing w:after="0" w:line="240" w:lineRule="auto"/>
              <w:ind w:right="100"/>
              <w:contextualSpacing/>
              <w:rPr>
                <w:rFonts w:cstheme="minorHAnsi"/>
                <w:sz w:val="22"/>
                <w:szCs w:val="22"/>
              </w:rPr>
            </w:pPr>
            <w:r w:rsidRPr="00EC452A">
              <w:rPr>
                <w:rFonts w:cstheme="minorHAnsi"/>
                <w:sz w:val="22"/>
                <w:szCs w:val="22"/>
              </w:rPr>
              <w:t>T1 ohjata oppilasta ymmärtämään terveyden laaja-alaisuutta, terveyden edistämistä sekä elämänkulkua, kasvua ja kehitystä voimavaralähtöisesti</w:t>
            </w:r>
          </w:p>
        </w:tc>
        <w:tc>
          <w:tcPr>
            <w:tcW w:w="328" w:type="pct"/>
            <w:tcMar>
              <w:top w:w="100" w:type="dxa"/>
              <w:left w:w="100" w:type="dxa"/>
              <w:bottom w:w="100" w:type="dxa"/>
              <w:right w:w="100" w:type="dxa"/>
            </w:tcMar>
          </w:tcPr>
          <w:p w14:paraId="228D3FEF" w14:textId="77777777" w:rsidR="00FC2665" w:rsidRPr="00EC452A" w:rsidRDefault="00FC2665" w:rsidP="003C5871">
            <w:pPr>
              <w:spacing w:after="0" w:line="240" w:lineRule="auto"/>
              <w:ind w:right="100"/>
              <w:contextualSpacing/>
              <w:rPr>
                <w:rFonts w:cstheme="minorHAnsi"/>
                <w:sz w:val="22"/>
                <w:szCs w:val="22"/>
              </w:rPr>
            </w:pPr>
            <w:r w:rsidRPr="00EC452A">
              <w:rPr>
                <w:rFonts w:cstheme="minorHAnsi"/>
                <w:sz w:val="22"/>
                <w:szCs w:val="22"/>
              </w:rPr>
              <w:t>S1–S3</w:t>
            </w:r>
          </w:p>
        </w:tc>
        <w:tc>
          <w:tcPr>
            <w:tcW w:w="895" w:type="pct"/>
            <w:tcMar>
              <w:top w:w="100" w:type="dxa"/>
              <w:left w:w="100" w:type="dxa"/>
              <w:bottom w:w="100" w:type="dxa"/>
              <w:right w:w="100" w:type="dxa"/>
            </w:tcMar>
          </w:tcPr>
          <w:p w14:paraId="1FDA89B2"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Oppilas oppii tarkastelemaan terveyden laaja-alaisuutta, terveyden edistämistä sekä elämänkulkua, kasvua ja kehitystä voimavaralähtöisesti.</w:t>
            </w:r>
          </w:p>
        </w:tc>
        <w:tc>
          <w:tcPr>
            <w:tcW w:w="853" w:type="pct"/>
            <w:tcMar>
              <w:top w:w="100" w:type="dxa"/>
              <w:left w:w="100" w:type="dxa"/>
              <w:bottom w:w="100" w:type="dxa"/>
              <w:right w:w="100" w:type="dxa"/>
            </w:tcMar>
          </w:tcPr>
          <w:p w14:paraId="1DE12B49"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Terveyteen liittyvät käsitykset</w:t>
            </w:r>
          </w:p>
        </w:tc>
        <w:tc>
          <w:tcPr>
            <w:tcW w:w="932" w:type="pct"/>
            <w:tcMar>
              <w:top w:w="100" w:type="dxa"/>
              <w:left w:w="100" w:type="dxa"/>
              <w:bottom w:w="100" w:type="dxa"/>
              <w:right w:w="100" w:type="dxa"/>
            </w:tcMar>
          </w:tcPr>
          <w:p w14:paraId="62465D25"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Oppilas osaa nimetä yksittäisen terveyden osa-alueen.</w:t>
            </w:r>
          </w:p>
          <w:p w14:paraId="4070352D"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 xml:space="preserve"> </w:t>
            </w:r>
          </w:p>
          <w:p w14:paraId="2BB4C5EF"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Oppilas osaa nimetä yksittäisen elämänkulun vaiheen.</w:t>
            </w:r>
          </w:p>
        </w:tc>
        <w:tc>
          <w:tcPr>
            <w:tcW w:w="1020" w:type="pct"/>
          </w:tcPr>
          <w:p w14:paraId="6EA5268D" w14:textId="77777777" w:rsidR="00FC2665" w:rsidRPr="00EC452A" w:rsidRDefault="00084625" w:rsidP="003C5871">
            <w:pPr>
              <w:spacing w:after="0" w:line="240" w:lineRule="auto"/>
              <w:contextualSpacing/>
              <w:rPr>
                <w:rFonts w:cstheme="minorHAnsi"/>
                <w:sz w:val="22"/>
                <w:szCs w:val="22"/>
              </w:rPr>
            </w:pPr>
            <w:r w:rsidRPr="00EC452A">
              <w:rPr>
                <w:rFonts w:cstheme="minorHAnsi"/>
                <w:sz w:val="22"/>
                <w:szCs w:val="22"/>
              </w:rPr>
              <w:t>Jokin seuraavista: esim. fyysinen, psyykkinen, sosiaalinen</w:t>
            </w:r>
            <w:r w:rsidR="004B7882" w:rsidRPr="00EC452A">
              <w:rPr>
                <w:rFonts w:cstheme="minorHAnsi"/>
                <w:sz w:val="22"/>
                <w:szCs w:val="22"/>
              </w:rPr>
              <w:t xml:space="preserve">. </w:t>
            </w:r>
          </w:p>
          <w:p w14:paraId="2E3059A0" w14:textId="77777777" w:rsidR="00407BB5" w:rsidRPr="00EC452A" w:rsidRDefault="00407BB5" w:rsidP="003C5871">
            <w:pPr>
              <w:spacing w:after="0" w:line="240" w:lineRule="auto"/>
              <w:contextualSpacing/>
              <w:rPr>
                <w:rFonts w:cstheme="minorHAnsi"/>
                <w:sz w:val="22"/>
                <w:szCs w:val="22"/>
              </w:rPr>
            </w:pPr>
          </w:p>
          <w:p w14:paraId="1371C9B2" w14:textId="5B041531" w:rsidR="00407BB5" w:rsidRPr="00EC452A" w:rsidRDefault="00407BB5" w:rsidP="003C5871">
            <w:pPr>
              <w:spacing w:after="0" w:line="240" w:lineRule="auto"/>
              <w:contextualSpacing/>
              <w:rPr>
                <w:rFonts w:cstheme="minorHAnsi"/>
                <w:sz w:val="22"/>
                <w:szCs w:val="22"/>
              </w:rPr>
            </w:pPr>
            <w:r w:rsidRPr="00EC452A">
              <w:rPr>
                <w:rFonts w:cstheme="minorHAnsi"/>
                <w:sz w:val="22"/>
                <w:szCs w:val="22"/>
              </w:rPr>
              <w:t>Jokin seuraavista: lapsuus, nuoruus, aikuisuus, vanhuus.</w:t>
            </w:r>
          </w:p>
        </w:tc>
      </w:tr>
      <w:tr w:rsidR="00FC2665" w:rsidRPr="00EC452A" w14:paraId="1ECFB536" w14:textId="0F5366A4" w:rsidTr="501130A6">
        <w:trPr>
          <w:trHeight w:val="284"/>
        </w:trPr>
        <w:tc>
          <w:tcPr>
            <w:tcW w:w="972" w:type="pct"/>
            <w:tcMar>
              <w:top w:w="100" w:type="dxa"/>
              <w:left w:w="100" w:type="dxa"/>
              <w:bottom w:w="100" w:type="dxa"/>
              <w:right w:w="100" w:type="dxa"/>
            </w:tcMar>
          </w:tcPr>
          <w:p w14:paraId="714B35A9" w14:textId="77777777" w:rsidR="00FC2665" w:rsidRPr="00EC452A" w:rsidRDefault="00FC2665" w:rsidP="003C5871">
            <w:pPr>
              <w:spacing w:after="0" w:line="240" w:lineRule="auto"/>
              <w:ind w:right="100"/>
              <w:contextualSpacing/>
              <w:rPr>
                <w:rFonts w:cstheme="minorHAnsi"/>
                <w:sz w:val="22"/>
                <w:szCs w:val="22"/>
              </w:rPr>
            </w:pPr>
            <w:r w:rsidRPr="00EC452A">
              <w:rPr>
                <w:rFonts w:cstheme="minorHAnsi"/>
                <w:sz w:val="22"/>
                <w:szCs w:val="22"/>
              </w:rPr>
              <w:t xml:space="preserve">T2 ohjata oppilasta kehittämään valmiuksiaan tunne- ja vuorovaikutustaidoissa ja kykyä toimia erilaisissa ristiriita- ja kriisitilanteissa                 </w:t>
            </w:r>
            <w:r w:rsidRPr="00EC452A">
              <w:rPr>
                <w:rFonts w:cstheme="minorHAnsi"/>
                <w:sz w:val="22"/>
                <w:szCs w:val="22"/>
              </w:rPr>
              <w:tab/>
              <w:t xml:space="preserve">                </w:t>
            </w:r>
            <w:r w:rsidRPr="00EC452A">
              <w:rPr>
                <w:rFonts w:cstheme="minorHAnsi"/>
                <w:sz w:val="22"/>
                <w:szCs w:val="22"/>
              </w:rPr>
              <w:tab/>
            </w:r>
          </w:p>
        </w:tc>
        <w:tc>
          <w:tcPr>
            <w:tcW w:w="328" w:type="pct"/>
            <w:tcMar>
              <w:top w:w="100" w:type="dxa"/>
              <w:left w:w="100" w:type="dxa"/>
              <w:bottom w:w="100" w:type="dxa"/>
              <w:right w:w="100" w:type="dxa"/>
            </w:tcMar>
          </w:tcPr>
          <w:p w14:paraId="6D56756D" w14:textId="77777777" w:rsidR="00FC2665" w:rsidRPr="00EC452A" w:rsidRDefault="00FC2665" w:rsidP="003C5871">
            <w:pPr>
              <w:spacing w:after="0" w:line="240" w:lineRule="auto"/>
              <w:ind w:right="100"/>
              <w:contextualSpacing/>
              <w:rPr>
                <w:rFonts w:cstheme="minorHAnsi"/>
                <w:sz w:val="22"/>
                <w:szCs w:val="22"/>
              </w:rPr>
            </w:pPr>
            <w:r w:rsidRPr="00EC452A">
              <w:rPr>
                <w:rFonts w:cstheme="minorHAnsi"/>
                <w:sz w:val="22"/>
                <w:szCs w:val="22"/>
              </w:rPr>
              <w:t>S1</w:t>
            </w:r>
          </w:p>
        </w:tc>
        <w:tc>
          <w:tcPr>
            <w:tcW w:w="895" w:type="pct"/>
            <w:tcMar>
              <w:top w:w="100" w:type="dxa"/>
              <w:left w:w="100" w:type="dxa"/>
              <w:bottom w:w="100" w:type="dxa"/>
              <w:right w:w="100" w:type="dxa"/>
            </w:tcMar>
          </w:tcPr>
          <w:p w14:paraId="28E3B921"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Oppilas oppii hyödyntämään tunne- ja vuorovaikutustaitoja sekä erilaisia keinoja ristiriita- ja kriisitilanteiden käsittelyyn.</w:t>
            </w:r>
          </w:p>
        </w:tc>
        <w:tc>
          <w:tcPr>
            <w:tcW w:w="853" w:type="pct"/>
            <w:tcMar>
              <w:top w:w="100" w:type="dxa"/>
              <w:left w:w="100" w:type="dxa"/>
              <w:bottom w:w="100" w:type="dxa"/>
              <w:right w:w="100" w:type="dxa"/>
            </w:tcMar>
          </w:tcPr>
          <w:p w14:paraId="4341FB6F"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Vuorovaikutus- ja tunnetaitojen sekä käyttäytymisen säätelyn analysointi</w:t>
            </w:r>
          </w:p>
        </w:tc>
        <w:tc>
          <w:tcPr>
            <w:tcW w:w="932" w:type="pct"/>
            <w:tcMar>
              <w:top w:w="100" w:type="dxa"/>
              <w:left w:w="100" w:type="dxa"/>
              <w:bottom w:w="100" w:type="dxa"/>
              <w:right w:w="100" w:type="dxa"/>
            </w:tcMar>
          </w:tcPr>
          <w:p w14:paraId="55579FFF"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Oppilas osaa nimetä perustunteita ja tietää, että ne vaikuttavat käyttäytymiseen.</w:t>
            </w:r>
          </w:p>
          <w:p w14:paraId="1DA1EF34" w14:textId="77777777" w:rsidR="00FC2665" w:rsidRPr="00EC452A" w:rsidRDefault="00FC2665" w:rsidP="003C5871">
            <w:pPr>
              <w:spacing w:after="0" w:line="240" w:lineRule="auto"/>
              <w:contextualSpacing/>
              <w:rPr>
                <w:rFonts w:cstheme="minorHAnsi"/>
                <w:sz w:val="22"/>
                <w:szCs w:val="22"/>
              </w:rPr>
            </w:pPr>
          </w:p>
          <w:p w14:paraId="68625124"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Oppilas osaa nimetä ristiriitatilanteita sekä stressin ja kriisien piirteitä.</w:t>
            </w:r>
          </w:p>
        </w:tc>
        <w:tc>
          <w:tcPr>
            <w:tcW w:w="1020" w:type="pct"/>
          </w:tcPr>
          <w:p w14:paraId="37F115DF" w14:textId="39E0D42F" w:rsidR="00FC2665" w:rsidRPr="00EC452A" w:rsidRDefault="00154BB3" w:rsidP="003C5871">
            <w:pPr>
              <w:spacing w:after="0" w:line="240" w:lineRule="auto"/>
              <w:contextualSpacing/>
              <w:rPr>
                <w:rFonts w:cstheme="minorHAnsi"/>
                <w:sz w:val="22"/>
                <w:szCs w:val="22"/>
              </w:rPr>
            </w:pPr>
            <w:r w:rsidRPr="00EC452A">
              <w:rPr>
                <w:rFonts w:cstheme="minorHAnsi"/>
                <w:sz w:val="22"/>
                <w:szCs w:val="22"/>
              </w:rPr>
              <w:t xml:space="preserve">Käytä esim. Mieli ry:n ilmaisia materiaaleja (Hyvän mielen taitomerkki peruskouluun) tai erilaisia tunnekortteja. </w:t>
            </w:r>
            <w:r w:rsidR="00905706" w:rsidRPr="00EC452A">
              <w:rPr>
                <w:rFonts w:cstheme="minorHAnsi"/>
                <w:sz w:val="22"/>
                <w:szCs w:val="22"/>
              </w:rPr>
              <w:t>Mieli ry:llä myös mielen hyvinvointi -opetuskokonaisuus terveystietoon.</w:t>
            </w:r>
          </w:p>
          <w:p w14:paraId="6C09F76F" w14:textId="77777777" w:rsidR="0082082D" w:rsidRPr="00EC452A" w:rsidRDefault="0082082D" w:rsidP="003C5871">
            <w:pPr>
              <w:spacing w:after="0" w:line="240" w:lineRule="auto"/>
              <w:contextualSpacing/>
              <w:rPr>
                <w:rFonts w:cstheme="minorHAnsi"/>
                <w:sz w:val="22"/>
                <w:szCs w:val="22"/>
              </w:rPr>
            </w:pPr>
          </w:p>
          <w:p w14:paraId="0D95652B" w14:textId="5D07F795" w:rsidR="0082082D" w:rsidRPr="00EC452A" w:rsidRDefault="002736AA" w:rsidP="003C5871">
            <w:pPr>
              <w:spacing w:after="0" w:line="240" w:lineRule="auto"/>
              <w:contextualSpacing/>
              <w:rPr>
                <w:rFonts w:cstheme="minorHAnsi"/>
                <w:sz w:val="22"/>
                <w:szCs w:val="22"/>
              </w:rPr>
            </w:pPr>
            <w:r w:rsidRPr="00EC452A">
              <w:rPr>
                <w:rFonts w:cstheme="minorHAnsi"/>
                <w:sz w:val="22"/>
                <w:szCs w:val="22"/>
              </w:rPr>
              <w:t xml:space="preserve">Ristiriitatilanteita miettiessä hyvä hyödyntää nuoren oman elämän esimerkkejä. </w:t>
            </w:r>
            <w:r w:rsidR="009A1133" w:rsidRPr="00EC452A">
              <w:rPr>
                <w:rFonts w:cstheme="minorHAnsi"/>
                <w:sz w:val="22"/>
                <w:szCs w:val="22"/>
              </w:rPr>
              <w:t>Yhdistettävissä myös fyysisen kehon tuntemuksiin: Missä stressi</w:t>
            </w:r>
            <w:r w:rsidR="005C70BC" w:rsidRPr="00EC452A">
              <w:rPr>
                <w:rFonts w:cstheme="minorHAnsi"/>
                <w:sz w:val="22"/>
                <w:szCs w:val="22"/>
              </w:rPr>
              <w:t>/tunne</w:t>
            </w:r>
            <w:r w:rsidR="009A1133" w:rsidRPr="00EC452A">
              <w:rPr>
                <w:rFonts w:cstheme="minorHAnsi"/>
                <w:sz w:val="22"/>
                <w:szCs w:val="22"/>
              </w:rPr>
              <w:t xml:space="preserve"> tuntuu?</w:t>
            </w:r>
          </w:p>
        </w:tc>
      </w:tr>
      <w:tr w:rsidR="00FC2665" w:rsidRPr="00EC452A" w14:paraId="1CF0B538" w14:textId="3756CFF4" w:rsidTr="501130A6">
        <w:trPr>
          <w:trHeight w:val="284"/>
        </w:trPr>
        <w:tc>
          <w:tcPr>
            <w:tcW w:w="972" w:type="pct"/>
            <w:tcMar>
              <w:top w:w="100" w:type="dxa"/>
              <w:left w:w="100" w:type="dxa"/>
              <w:bottom w:w="100" w:type="dxa"/>
              <w:right w:w="100" w:type="dxa"/>
            </w:tcMar>
          </w:tcPr>
          <w:p w14:paraId="21679802" w14:textId="77777777" w:rsidR="00FC2665" w:rsidRPr="00EC452A" w:rsidRDefault="00FC2665" w:rsidP="003C5871">
            <w:pPr>
              <w:spacing w:after="0" w:line="240" w:lineRule="auto"/>
              <w:ind w:right="100"/>
              <w:contextualSpacing/>
              <w:rPr>
                <w:rFonts w:cstheme="minorHAnsi"/>
                <w:sz w:val="22"/>
                <w:szCs w:val="22"/>
              </w:rPr>
            </w:pPr>
            <w:r w:rsidRPr="00EC452A">
              <w:rPr>
                <w:rFonts w:cstheme="minorHAnsi"/>
                <w:sz w:val="22"/>
                <w:szCs w:val="22"/>
              </w:rPr>
              <w:t>T3 ohjata oppilasta kehittämään itsetuntemustaan, omien arvojen ja asenteiden sekä kehon ja mielen viestien tunnistamista ja säätelemään käyttäytymistään, oppimistaan ja opiskeluaan tukevia tekijöitä</w:t>
            </w:r>
          </w:p>
        </w:tc>
        <w:tc>
          <w:tcPr>
            <w:tcW w:w="328" w:type="pct"/>
            <w:tcMar>
              <w:top w:w="100" w:type="dxa"/>
              <w:left w:w="100" w:type="dxa"/>
              <w:bottom w:w="100" w:type="dxa"/>
              <w:right w:w="100" w:type="dxa"/>
            </w:tcMar>
          </w:tcPr>
          <w:p w14:paraId="1E3F51D5" w14:textId="77777777" w:rsidR="00FC2665" w:rsidRPr="00EC452A" w:rsidRDefault="00FC2665" w:rsidP="003C5871">
            <w:pPr>
              <w:spacing w:after="0" w:line="240" w:lineRule="auto"/>
              <w:ind w:right="100"/>
              <w:contextualSpacing/>
              <w:rPr>
                <w:rFonts w:cstheme="minorHAnsi"/>
                <w:sz w:val="22"/>
                <w:szCs w:val="22"/>
              </w:rPr>
            </w:pPr>
            <w:r w:rsidRPr="00EC452A">
              <w:rPr>
                <w:rFonts w:cstheme="minorHAnsi"/>
                <w:sz w:val="22"/>
                <w:szCs w:val="22"/>
              </w:rPr>
              <w:t>S1</w:t>
            </w:r>
          </w:p>
        </w:tc>
        <w:tc>
          <w:tcPr>
            <w:tcW w:w="895" w:type="pct"/>
            <w:tcMar>
              <w:top w:w="100" w:type="dxa"/>
              <w:left w:w="100" w:type="dxa"/>
              <w:bottom w:w="100" w:type="dxa"/>
              <w:right w:w="100" w:type="dxa"/>
            </w:tcMar>
          </w:tcPr>
          <w:p w14:paraId="7E330854"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Oppilas oppii kehittämään itsetuntemustaan ja säätelemään käyttäytymistään ja oppimistaan.</w:t>
            </w:r>
          </w:p>
        </w:tc>
        <w:tc>
          <w:tcPr>
            <w:tcW w:w="853" w:type="pct"/>
            <w:tcMar>
              <w:top w:w="100" w:type="dxa"/>
              <w:left w:w="100" w:type="dxa"/>
              <w:bottom w:w="100" w:type="dxa"/>
              <w:right w:w="100" w:type="dxa"/>
            </w:tcMar>
          </w:tcPr>
          <w:p w14:paraId="06D38850"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 xml:space="preserve"> </w:t>
            </w:r>
          </w:p>
        </w:tc>
        <w:tc>
          <w:tcPr>
            <w:tcW w:w="932" w:type="pct"/>
            <w:tcMar>
              <w:top w:w="100" w:type="dxa"/>
              <w:left w:w="100" w:type="dxa"/>
              <w:bottom w:w="100" w:type="dxa"/>
              <w:right w:w="100" w:type="dxa"/>
            </w:tcMar>
          </w:tcPr>
          <w:p w14:paraId="7C211A09" w14:textId="77777777" w:rsidR="00FC2665" w:rsidRPr="00EC452A" w:rsidRDefault="00FC2665" w:rsidP="003C5871">
            <w:pPr>
              <w:spacing w:after="0" w:line="240" w:lineRule="auto"/>
              <w:ind w:right="100"/>
              <w:contextualSpacing/>
              <w:rPr>
                <w:rFonts w:cstheme="minorHAnsi"/>
                <w:sz w:val="22"/>
                <w:szCs w:val="22"/>
              </w:rPr>
            </w:pPr>
            <w:r w:rsidRPr="00EC452A">
              <w:rPr>
                <w:rFonts w:cstheme="minorHAnsi"/>
                <w:i/>
                <w:iCs/>
                <w:sz w:val="22"/>
                <w:szCs w:val="22"/>
              </w:rPr>
              <w:t>Ei käytetä arvosanan muodostamisen perusteena. Oppilasta ohjataan pohtimaan kokemuksiaan osana itsearviointia.</w:t>
            </w:r>
          </w:p>
        </w:tc>
        <w:tc>
          <w:tcPr>
            <w:tcW w:w="1020" w:type="pct"/>
          </w:tcPr>
          <w:p w14:paraId="1874995D" w14:textId="03EA5A01" w:rsidR="00FC2665" w:rsidRPr="00EC452A" w:rsidRDefault="00FD42C0" w:rsidP="003C5871">
            <w:pPr>
              <w:spacing w:after="0" w:line="240" w:lineRule="auto"/>
              <w:ind w:right="100"/>
              <w:contextualSpacing/>
              <w:rPr>
                <w:rFonts w:cstheme="minorHAnsi"/>
                <w:sz w:val="22"/>
                <w:szCs w:val="22"/>
              </w:rPr>
            </w:pPr>
            <w:proofErr w:type="spellStart"/>
            <w:r w:rsidRPr="00EC452A">
              <w:rPr>
                <w:rFonts w:cstheme="minorHAnsi"/>
                <w:sz w:val="22"/>
                <w:szCs w:val="22"/>
              </w:rPr>
              <w:t>Huom</w:t>
            </w:r>
            <w:proofErr w:type="spellEnd"/>
            <w:r w:rsidRPr="00EC452A">
              <w:rPr>
                <w:rFonts w:cstheme="minorHAnsi"/>
                <w:sz w:val="22"/>
                <w:szCs w:val="22"/>
              </w:rPr>
              <w:t>! Itsearviointi.</w:t>
            </w:r>
          </w:p>
        </w:tc>
      </w:tr>
      <w:tr w:rsidR="00FC2665" w:rsidRPr="00EC452A" w14:paraId="2C7A695C" w14:textId="4C2C3078" w:rsidTr="501130A6">
        <w:trPr>
          <w:trHeight w:val="284"/>
        </w:trPr>
        <w:tc>
          <w:tcPr>
            <w:tcW w:w="972" w:type="pct"/>
            <w:tcMar>
              <w:top w:w="100" w:type="dxa"/>
              <w:left w:w="100" w:type="dxa"/>
              <w:bottom w:w="100" w:type="dxa"/>
              <w:right w:w="100" w:type="dxa"/>
            </w:tcMar>
          </w:tcPr>
          <w:p w14:paraId="5964F930" w14:textId="77777777" w:rsidR="00FC2665" w:rsidRPr="00EC452A" w:rsidRDefault="00FC2665" w:rsidP="003C5871">
            <w:pPr>
              <w:spacing w:after="0" w:line="240" w:lineRule="auto"/>
              <w:ind w:right="100"/>
              <w:contextualSpacing/>
              <w:rPr>
                <w:rFonts w:cstheme="minorHAnsi"/>
                <w:sz w:val="22"/>
                <w:szCs w:val="22"/>
              </w:rPr>
            </w:pPr>
            <w:r w:rsidRPr="00EC452A">
              <w:rPr>
                <w:rFonts w:cstheme="minorHAnsi"/>
                <w:sz w:val="22"/>
                <w:szCs w:val="22"/>
              </w:rPr>
              <w:lastRenderedPageBreak/>
              <w:t>T4 ohjata oppilasta pohtimaan yksilöllisyyteen, yhteisöllisyyteen ja yhdenvertaisuuteen liittyviä kysymyksiä terveyden näkökulmasta sekä tukea oppilaan valmiuksia luoda vastuullisia ratkaisuja ihmisten välisissä vuorovaikutustilanteissa</w:t>
            </w:r>
          </w:p>
        </w:tc>
        <w:tc>
          <w:tcPr>
            <w:tcW w:w="328" w:type="pct"/>
            <w:tcMar>
              <w:top w:w="100" w:type="dxa"/>
              <w:left w:w="100" w:type="dxa"/>
              <w:bottom w:w="100" w:type="dxa"/>
              <w:right w:w="100" w:type="dxa"/>
            </w:tcMar>
          </w:tcPr>
          <w:p w14:paraId="11B88A18" w14:textId="77777777" w:rsidR="00FC2665" w:rsidRPr="00EC452A" w:rsidRDefault="00FC2665" w:rsidP="003C5871">
            <w:pPr>
              <w:spacing w:after="0" w:line="240" w:lineRule="auto"/>
              <w:ind w:right="100"/>
              <w:contextualSpacing/>
              <w:rPr>
                <w:rFonts w:cstheme="minorHAnsi"/>
                <w:sz w:val="22"/>
                <w:szCs w:val="22"/>
              </w:rPr>
            </w:pPr>
            <w:r w:rsidRPr="00EC452A">
              <w:rPr>
                <w:rFonts w:cstheme="minorHAnsi"/>
                <w:sz w:val="22"/>
                <w:szCs w:val="22"/>
              </w:rPr>
              <w:t xml:space="preserve">S1, S3 </w:t>
            </w:r>
          </w:p>
        </w:tc>
        <w:tc>
          <w:tcPr>
            <w:tcW w:w="895" w:type="pct"/>
            <w:tcMar>
              <w:top w:w="100" w:type="dxa"/>
              <w:left w:w="100" w:type="dxa"/>
              <w:bottom w:w="100" w:type="dxa"/>
              <w:right w:w="100" w:type="dxa"/>
            </w:tcMar>
          </w:tcPr>
          <w:p w14:paraId="6F968485" w14:textId="77777777" w:rsidR="00FC2665" w:rsidRPr="00EC452A" w:rsidRDefault="00FC2665" w:rsidP="003C5871">
            <w:pPr>
              <w:spacing w:after="0" w:line="240" w:lineRule="auto"/>
              <w:ind w:right="100"/>
              <w:contextualSpacing/>
              <w:rPr>
                <w:rFonts w:cstheme="minorHAnsi"/>
                <w:sz w:val="22"/>
                <w:szCs w:val="22"/>
              </w:rPr>
            </w:pPr>
            <w:r w:rsidRPr="00EC452A">
              <w:rPr>
                <w:rFonts w:cstheme="minorHAnsi"/>
                <w:sz w:val="22"/>
                <w:szCs w:val="22"/>
              </w:rPr>
              <w:t>Oppilas oppii pohtimaan yksilöllisyyteen, yhteisöllisyyteen ja yhdenvertaisuuteen liittyviä kysymyksiä terveyden näkökulmasta sekä oppii luomaan vastuullisia ratkaisuja ihmisten välisissä vuorovaikutustilanteissa toimimiseen.</w:t>
            </w:r>
          </w:p>
          <w:p w14:paraId="7C66DF4B"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 xml:space="preserve"> </w:t>
            </w:r>
          </w:p>
        </w:tc>
        <w:tc>
          <w:tcPr>
            <w:tcW w:w="853" w:type="pct"/>
            <w:tcMar>
              <w:top w:w="100" w:type="dxa"/>
              <w:left w:w="100" w:type="dxa"/>
              <w:bottom w:w="100" w:type="dxa"/>
              <w:right w:w="100" w:type="dxa"/>
            </w:tcMar>
          </w:tcPr>
          <w:p w14:paraId="11913F8D"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Terveydellisen kehityksen analysointi ja toiminta vuorovaikutustilanteissa</w:t>
            </w:r>
          </w:p>
        </w:tc>
        <w:tc>
          <w:tcPr>
            <w:tcW w:w="932" w:type="pct"/>
            <w:tcMar>
              <w:top w:w="100" w:type="dxa"/>
              <w:left w:w="100" w:type="dxa"/>
              <w:bottom w:w="100" w:type="dxa"/>
              <w:right w:w="100" w:type="dxa"/>
            </w:tcMar>
          </w:tcPr>
          <w:p w14:paraId="0C3FCF14"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Oppilas osaa nimetä yksilöllisyyteen vaikuttavia tekijöitä sekä antaa yksittäisen esimerkin sosiaalisten suhteiden yhteydestä mielen hyvinvointiin ja terveyteen.</w:t>
            </w:r>
          </w:p>
          <w:p w14:paraId="06F7F75A"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 xml:space="preserve"> </w:t>
            </w:r>
          </w:p>
          <w:p w14:paraId="71D8FD4D" w14:textId="77777777" w:rsidR="00FC2665" w:rsidRPr="00EC452A" w:rsidRDefault="00FC2665" w:rsidP="003C5871">
            <w:pPr>
              <w:spacing w:after="0" w:line="240" w:lineRule="auto"/>
              <w:contextualSpacing/>
              <w:rPr>
                <w:rFonts w:cstheme="minorHAnsi"/>
                <w:sz w:val="22"/>
                <w:szCs w:val="22"/>
              </w:rPr>
            </w:pPr>
            <w:r w:rsidRPr="00EC452A">
              <w:rPr>
                <w:rFonts w:cstheme="minorHAnsi"/>
                <w:sz w:val="22"/>
                <w:szCs w:val="22"/>
              </w:rPr>
              <w:t>Oppilas osaa nimetä yhdessä toimimiseen ja vuorovaikutukseen liittyviä eettisiä kysymyksiä ja esittää niihin ohjatusti ratkaisuja.</w:t>
            </w:r>
          </w:p>
        </w:tc>
        <w:tc>
          <w:tcPr>
            <w:tcW w:w="1020" w:type="pct"/>
          </w:tcPr>
          <w:p w14:paraId="5B64F26E" w14:textId="77777777" w:rsidR="00FC2665" w:rsidRPr="00EC452A" w:rsidRDefault="00B16607" w:rsidP="003C5871">
            <w:pPr>
              <w:spacing w:after="0" w:line="240" w:lineRule="auto"/>
              <w:contextualSpacing/>
              <w:rPr>
                <w:rFonts w:cstheme="minorHAnsi"/>
                <w:sz w:val="22"/>
                <w:szCs w:val="22"/>
              </w:rPr>
            </w:pPr>
            <w:r w:rsidRPr="00EC452A">
              <w:rPr>
                <w:rFonts w:cstheme="minorHAnsi"/>
                <w:sz w:val="22"/>
                <w:szCs w:val="22"/>
              </w:rPr>
              <w:t>Esim. miten ulkonäkö,</w:t>
            </w:r>
            <w:r w:rsidR="00D2765A" w:rsidRPr="00EC452A">
              <w:rPr>
                <w:rFonts w:cstheme="minorHAnsi"/>
                <w:sz w:val="22"/>
                <w:szCs w:val="22"/>
              </w:rPr>
              <w:t xml:space="preserve"> henkilökohtaiset erityispiirteet, mielipiteet, </w:t>
            </w:r>
            <w:r w:rsidR="00B23DE5" w:rsidRPr="00EC452A">
              <w:rPr>
                <w:rFonts w:cstheme="minorHAnsi"/>
                <w:sz w:val="22"/>
                <w:szCs w:val="22"/>
              </w:rPr>
              <w:t xml:space="preserve">osaaminen vaikuttavat </w:t>
            </w:r>
            <w:r w:rsidR="008301A8" w:rsidRPr="00EC452A">
              <w:rPr>
                <w:rFonts w:cstheme="minorHAnsi"/>
                <w:sz w:val="22"/>
                <w:szCs w:val="22"/>
              </w:rPr>
              <w:t xml:space="preserve">siihen kuka sinä olet. </w:t>
            </w:r>
          </w:p>
          <w:p w14:paraId="2A541F7E" w14:textId="77777777" w:rsidR="008301A8" w:rsidRPr="00EC452A" w:rsidRDefault="008301A8" w:rsidP="003C5871">
            <w:pPr>
              <w:spacing w:after="0" w:line="240" w:lineRule="auto"/>
              <w:contextualSpacing/>
              <w:rPr>
                <w:rFonts w:cstheme="minorHAnsi"/>
                <w:sz w:val="22"/>
                <w:szCs w:val="22"/>
              </w:rPr>
            </w:pPr>
          </w:p>
          <w:p w14:paraId="2E9D5C31" w14:textId="77777777" w:rsidR="008301A8" w:rsidRPr="00EC452A" w:rsidRDefault="008301A8" w:rsidP="003C5871">
            <w:pPr>
              <w:spacing w:after="0" w:line="240" w:lineRule="auto"/>
              <w:contextualSpacing/>
              <w:rPr>
                <w:rFonts w:cstheme="minorHAnsi"/>
                <w:sz w:val="22"/>
                <w:szCs w:val="22"/>
              </w:rPr>
            </w:pPr>
            <w:r w:rsidRPr="00EC452A">
              <w:rPr>
                <w:rFonts w:cstheme="minorHAnsi"/>
                <w:sz w:val="22"/>
                <w:szCs w:val="22"/>
              </w:rPr>
              <w:t>Minkälais</w:t>
            </w:r>
            <w:r w:rsidR="00870F39" w:rsidRPr="00EC452A">
              <w:rPr>
                <w:rFonts w:cstheme="minorHAnsi"/>
                <w:sz w:val="22"/>
                <w:szCs w:val="22"/>
              </w:rPr>
              <w:t>ii</w:t>
            </w:r>
            <w:r w:rsidRPr="00EC452A">
              <w:rPr>
                <w:rFonts w:cstheme="minorHAnsi"/>
                <w:sz w:val="22"/>
                <w:szCs w:val="22"/>
              </w:rPr>
              <w:t>n yhteisö</w:t>
            </w:r>
            <w:r w:rsidR="00870F39" w:rsidRPr="00EC452A">
              <w:rPr>
                <w:rFonts w:cstheme="minorHAnsi"/>
                <w:sz w:val="22"/>
                <w:szCs w:val="22"/>
              </w:rPr>
              <w:t>ihin</w:t>
            </w:r>
            <w:r w:rsidRPr="00EC452A">
              <w:rPr>
                <w:rFonts w:cstheme="minorHAnsi"/>
                <w:sz w:val="22"/>
                <w:szCs w:val="22"/>
              </w:rPr>
              <w:t xml:space="preserve"> koet kuuluvasi (ystävät, perhe, harrastukset</w:t>
            </w:r>
            <w:r w:rsidR="00CA18D3" w:rsidRPr="00EC452A">
              <w:rPr>
                <w:rFonts w:cstheme="minorHAnsi"/>
                <w:sz w:val="22"/>
                <w:szCs w:val="22"/>
              </w:rPr>
              <w:t xml:space="preserve">, kouluyhteisö) ja miten nämä yhteisöt vaikuttavat sinuun. </w:t>
            </w:r>
            <w:r w:rsidRPr="00EC452A">
              <w:rPr>
                <w:rFonts w:cstheme="minorHAnsi"/>
                <w:sz w:val="22"/>
                <w:szCs w:val="22"/>
              </w:rPr>
              <w:t xml:space="preserve"> </w:t>
            </w:r>
          </w:p>
          <w:p w14:paraId="5BA4C977" w14:textId="77777777" w:rsidR="00870F39" w:rsidRPr="00EC452A" w:rsidRDefault="00870F39" w:rsidP="003C5871">
            <w:pPr>
              <w:spacing w:after="0" w:line="240" w:lineRule="auto"/>
              <w:contextualSpacing/>
              <w:rPr>
                <w:rFonts w:cstheme="minorHAnsi"/>
                <w:sz w:val="22"/>
                <w:szCs w:val="22"/>
              </w:rPr>
            </w:pPr>
          </w:p>
          <w:p w14:paraId="564C4176" w14:textId="2C40FA2B" w:rsidR="00870F39" w:rsidRPr="00EC452A" w:rsidRDefault="00870F39" w:rsidP="003C5871">
            <w:pPr>
              <w:spacing w:after="0" w:line="240" w:lineRule="auto"/>
              <w:contextualSpacing/>
              <w:rPr>
                <w:rFonts w:cstheme="minorHAnsi"/>
                <w:sz w:val="22"/>
                <w:szCs w:val="22"/>
              </w:rPr>
            </w:pPr>
            <w:r w:rsidRPr="00EC452A">
              <w:rPr>
                <w:rFonts w:cstheme="minorHAnsi"/>
                <w:sz w:val="22"/>
                <w:szCs w:val="22"/>
              </w:rPr>
              <w:t xml:space="preserve">Esim. kiusaaminen, </w:t>
            </w:r>
            <w:r w:rsidR="008A4E13" w:rsidRPr="00EC452A">
              <w:rPr>
                <w:rFonts w:cstheme="minorHAnsi"/>
                <w:sz w:val="22"/>
                <w:szCs w:val="22"/>
              </w:rPr>
              <w:t>erilaisuuden hyväksyminen, erilaiset ikäryhmät, mielipide-erot</w:t>
            </w:r>
            <w:r w:rsidR="00A776DF" w:rsidRPr="00EC452A">
              <w:rPr>
                <w:rFonts w:cstheme="minorHAnsi"/>
                <w:sz w:val="22"/>
                <w:szCs w:val="22"/>
              </w:rPr>
              <w:t xml:space="preserve">, </w:t>
            </w:r>
            <w:r w:rsidR="00F90681" w:rsidRPr="00EC452A">
              <w:rPr>
                <w:rFonts w:cstheme="minorHAnsi"/>
                <w:sz w:val="22"/>
                <w:szCs w:val="22"/>
              </w:rPr>
              <w:t>internetin tuomat vivahteet näihin teemoihin.</w:t>
            </w:r>
          </w:p>
        </w:tc>
      </w:tr>
    </w:tbl>
    <w:p w14:paraId="5462928A" w14:textId="77777777" w:rsidR="00BB41A8" w:rsidRPr="00FC2665" w:rsidRDefault="00BB41A8" w:rsidP="003C5871">
      <w:pPr>
        <w:spacing w:line="240" w:lineRule="auto"/>
        <w:rPr>
          <w:sz w:val="22"/>
          <w:szCs w:val="22"/>
        </w:rPr>
      </w:pPr>
    </w:p>
    <w:sectPr w:rsidR="00BB41A8" w:rsidRPr="00FC2665" w:rsidSect="00EC452A">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6626B" w14:textId="77777777" w:rsidR="00C45402" w:rsidRDefault="00C45402" w:rsidP="00EA5383">
      <w:pPr>
        <w:spacing w:after="0" w:line="240" w:lineRule="auto"/>
      </w:pPr>
      <w:r>
        <w:separator/>
      </w:r>
    </w:p>
  </w:endnote>
  <w:endnote w:type="continuationSeparator" w:id="0">
    <w:p w14:paraId="26CC5591" w14:textId="77777777" w:rsidR="00C45402" w:rsidRDefault="00C45402" w:rsidP="00EA5383">
      <w:pPr>
        <w:spacing w:after="0" w:line="240" w:lineRule="auto"/>
      </w:pPr>
      <w:r>
        <w:continuationSeparator/>
      </w:r>
    </w:p>
  </w:endnote>
  <w:endnote w:type="continuationNotice" w:id="1">
    <w:p w14:paraId="54A8ACC2" w14:textId="77777777" w:rsidR="00C45402" w:rsidRDefault="00C45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D175" w14:textId="77777777" w:rsidR="00C45402" w:rsidRDefault="00C45402" w:rsidP="00EA5383">
      <w:pPr>
        <w:spacing w:after="0" w:line="240" w:lineRule="auto"/>
      </w:pPr>
      <w:r>
        <w:separator/>
      </w:r>
    </w:p>
  </w:footnote>
  <w:footnote w:type="continuationSeparator" w:id="0">
    <w:p w14:paraId="49D2C61E" w14:textId="77777777" w:rsidR="00C45402" w:rsidRDefault="00C45402" w:rsidP="00EA5383">
      <w:pPr>
        <w:spacing w:after="0" w:line="240" w:lineRule="auto"/>
      </w:pPr>
      <w:r>
        <w:continuationSeparator/>
      </w:r>
    </w:p>
  </w:footnote>
  <w:footnote w:type="continuationNotice" w:id="1">
    <w:p w14:paraId="4E432893" w14:textId="77777777" w:rsidR="00C45402" w:rsidRDefault="00C454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D039" w14:textId="058A76C1" w:rsidR="00EA5383" w:rsidRDefault="15C556FB">
    <w:pPr>
      <w:pStyle w:val="Yltunniste"/>
      <w:rPr>
        <w:sz w:val="22"/>
        <w:szCs w:val="22"/>
      </w:rPr>
    </w:pPr>
    <w:r w:rsidRPr="00EC452A">
      <w:rPr>
        <w:sz w:val="22"/>
        <w:szCs w:val="22"/>
      </w:rPr>
      <w:fldChar w:fldCharType="begin"/>
    </w:r>
    <w:r w:rsidRPr="00EC452A">
      <w:rPr>
        <w:sz w:val="22"/>
        <w:szCs w:val="22"/>
      </w:rPr>
      <w:instrText>PAGE</w:instrText>
    </w:r>
    <w:r w:rsidRPr="00EC452A">
      <w:rPr>
        <w:sz w:val="22"/>
        <w:szCs w:val="22"/>
      </w:rPr>
      <w:fldChar w:fldCharType="separate"/>
    </w:r>
    <w:r w:rsidR="00EA5383" w:rsidRPr="00EC452A">
      <w:rPr>
        <w:noProof/>
        <w:sz w:val="22"/>
        <w:szCs w:val="22"/>
      </w:rPr>
      <w:t>1</w:t>
    </w:r>
    <w:r w:rsidRPr="00EC452A">
      <w:rPr>
        <w:sz w:val="22"/>
        <w:szCs w:val="22"/>
      </w:rPr>
      <w:fldChar w:fldCharType="end"/>
    </w:r>
    <w:r w:rsidRPr="00EC452A">
      <w:rPr>
        <w:sz w:val="22"/>
        <w:szCs w:val="22"/>
      </w:rPr>
      <w:t xml:space="preserve"> </w:t>
    </w:r>
    <w:r w:rsidR="003C5871">
      <w:rPr>
        <w:sz w:val="22"/>
        <w:szCs w:val="22"/>
      </w:rPr>
      <w:t>–</w:t>
    </w:r>
    <w:r w:rsidR="00250C9C" w:rsidRPr="00EC452A">
      <w:rPr>
        <w:sz w:val="22"/>
        <w:szCs w:val="22"/>
      </w:rPr>
      <w:t xml:space="preserve"> </w:t>
    </w:r>
    <w:r w:rsidRPr="00EC452A">
      <w:rPr>
        <w:sz w:val="22"/>
        <w:szCs w:val="22"/>
      </w:rPr>
      <w:t>Terveystieto 7lk</w:t>
    </w:r>
    <w:r w:rsidR="003C5871">
      <w:rPr>
        <w:sz w:val="22"/>
        <w:szCs w:val="22"/>
      </w:rPr>
      <w:t xml:space="preserve"> – Arvosana viisi</w:t>
    </w:r>
  </w:p>
  <w:p w14:paraId="5D78A576" w14:textId="77777777" w:rsidR="00EC452A" w:rsidRPr="00EC452A" w:rsidRDefault="00EC452A">
    <w:pPr>
      <w:pStyle w:val="Yltunnis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2654"/>
    <w:multiLevelType w:val="multilevel"/>
    <w:tmpl w:val="2D0E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0369B"/>
    <w:multiLevelType w:val="multilevel"/>
    <w:tmpl w:val="355E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77947"/>
    <w:multiLevelType w:val="multilevel"/>
    <w:tmpl w:val="CA52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985A91"/>
    <w:multiLevelType w:val="multilevel"/>
    <w:tmpl w:val="540C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00662">
    <w:abstractNumId w:val="1"/>
  </w:num>
  <w:num w:numId="2" w16cid:durableId="1552620337">
    <w:abstractNumId w:val="3"/>
  </w:num>
  <w:num w:numId="3" w16cid:durableId="208691192">
    <w:abstractNumId w:val="2"/>
  </w:num>
  <w:num w:numId="4" w16cid:durableId="122791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65"/>
    <w:rsid w:val="00084625"/>
    <w:rsid w:val="00154BB3"/>
    <w:rsid w:val="00250C9C"/>
    <w:rsid w:val="002736AA"/>
    <w:rsid w:val="003C5871"/>
    <w:rsid w:val="00407BB5"/>
    <w:rsid w:val="004B7882"/>
    <w:rsid w:val="005C70BC"/>
    <w:rsid w:val="006F67CF"/>
    <w:rsid w:val="0082082D"/>
    <w:rsid w:val="008301A8"/>
    <w:rsid w:val="008479CA"/>
    <w:rsid w:val="00870F39"/>
    <w:rsid w:val="008A4E13"/>
    <w:rsid w:val="00905706"/>
    <w:rsid w:val="009A1133"/>
    <w:rsid w:val="00A776DF"/>
    <w:rsid w:val="00B16607"/>
    <w:rsid w:val="00B23DE5"/>
    <w:rsid w:val="00BB41A8"/>
    <w:rsid w:val="00BD2BBC"/>
    <w:rsid w:val="00BE7167"/>
    <w:rsid w:val="00C45402"/>
    <w:rsid w:val="00CA18D3"/>
    <w:rsid w:val="00D2765A"/>
    <w:rsid w:val="00D95B07"/>
    <w:rsid w:val="00DF2601"/>
    <w:rsid w:val="00EA5383"/>
    <w:rsid w:val="00EC452A"/>
    <w:rsid w:val="00EF76D9"/>
    <w:rsid w:val="00EF79AD"/>
    <w:rsid w:val="00F90681"/>
    <w:rsid w:val="00FC2665"/>
    <w:rsid w:val="00FD42C0"/>
    <w:rsid w:val="15C556FB"/>
    <w:rsid w:val="501130A6"/>
    <w:rsid w:val="5F9CB4C5"/>
    <w:rsid w:val="6C9799FF"/>
    <w:rsid w:val="6FB9E4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1DDF"/>
  <w15:chartTrackingRefBased/>
  <w15:docId w15:val="{C9A3CC8C-C259-466E-B94C-E5ABF9AF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2665"/>
    <w:pPr>
      <w:spacing w:after="120" w:line="264" w:lineRule="auto"/>
    </w:pPr>
    <w:rPr>
      <w:rFonts w:eastAsiaTheme="minorEastAsia"/>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A538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A5383"/>
    <w:rPr>
      <w:rFonts w:eastAsiaTheme="minorEastAsia"/>
      <w:sz w:val="20"/>
      <w:szCs w:val="20"/>
    </w:rPr>
  </w:style>
  <w:style w:type="paragraph" w:styleId="Alatunniste">
    <w:name w:val="footer"/>
    <w:basedOn w:val="Normaali"/>
    <w:link w:val="AlatunnisteChar"/>
    <w:uiPriority w:val="99"/>
    <w:unhideWhenUsed/>
    <w:rsid w:val="00EA538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A5383"/>
    <w:rPr>
      <w:rFonts w:eastAsiaTheme="minorEastAsia"/>
      <w:sz w:val="20"/>
      <w:szCs w:val="20"/>
    </w:rPr>
  </w:style>
  <w:style w:type="character" w:styleId="Hyperlinkki">
    <w:name w:val="Hyperlink"/>
    <w:basedOn w:val="Kappaleenoletusfontti"/>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52439">
      <w:bodyDiv w:val="1"/>
      <w:marLeft w:val="0"/>
      <w:marRight w:val="0"/>
      <w:marTop w:val="0"/>
      <w:marBottom w:val="0"/>
      <w:divBdr>
        <w:top w:val="none" w:sz="0" w:space="0" w:color="auto"/>
        <w:left w:val="none" w:sz="0" w:space="0" w:color="auto"/>
        <w:bottom w:val="none" w:sz="0" w:space="0" w:color="auto"/>
        <w:right w:val="none" w:sz="0" w:space="0" w:color="auto"/>
      </w:divBdr>
      <w:divsChild>
        <w:div w:id="264505799">
          <w:marLeft w:val="0"/>
          <w:marRight w:val="0"/>
          <w:marTop w:val="0"/>
          <w:marBottom w:val="0"/>
          <w:divBdr>
            <w:top w:val="none" w:sz="0" w:space="0" w:color="auto"/>
            <w:left w:val="none" w:sz="0" w:space="0" w:color="auto"/>
            <w:bottom w:val="none" w:sz="0" w:space="0" w:color="auto"/>
            <w:right w:val="none" w:sz="0" w:space="0" w:color="auto"/>
          </w:divBdr>
        </w:div>
        <w:div w:id="720056420">
          <w:marLeft w:val="0"/>
          <w:marRight w:val="0"/>
          <w:marTop w:val="0"/>
          <w:marBottom w:val="0"/>
          <w:divBdr>
            <w:top w:val="none" w:sz="0" w:space="0" w:color="auto"/>
            <w:left w:val="none" w:sz="0" w:space="0" w:color="auto"/>
            <w:bottom w:val="none" w:sz="0" w:space="0" w:color="auto"/>
            <w:right w:val="none" w:sz="0" w:space="0" w:color="auto"/>
          </w:divBdr>
        </w:div>
      </w:divsChild>
    </w:div>
    <w:div w:id="188838113">
      <w:bodyDiv w:val="1"/>
      <w:marLeft w:val="0"/>
      <w:marRight w:val="0"/>
      <w:marTop w:val="0"/>
      <w:marBottom w:val="0"/>
      <w:divBdr>
        <w:top w:val="none" w:sz="0" w:space="0" w:color="auto"/>
        <w:left w:val="none" w:sz="0" w:space="0" w:color="auto"/>
        <w:bottom w:val="none" w:sz="0" w:space="0" w:color="auto"/>
        <w:right w:val="none" w:sz="0" w:space="0" w:color="auto"/>
      </w:divBdr>
    </w:div>
    <w:div w:id="682518170">
      <w:bodyDiv w:val="1"/>
      <w:marLeft w:val="0"/>
      <w:marRight w:val="0"/>
      <w:marTop w:val="0"/>
      <w:marBottom w:val="0"/>
      <w:divBdr>
        <w:top w:val="none" w:sz="0" w:space="0" w:color="auto"/>
        <w:left w:val="none" w:sz="0" w:space="0" w:color="auto"/>
        <w:bottom w:val="none" w:sz="0" w:space="0" w:color="auto"/>
        <w:right w:val="none" w:sz="0" w:space="0" w:color="auto"/>
      </w:divBdr>
      <w:divsChild>
        <w:div w:id="277295327">
          <w:marLeft w:val="0"/>
          <w:marRight w:val="0"/>
          <w:marTop w:val="0"/>
          <w:marBottom w:val="0"/>
          <w:divBdr>
            <w:top w:val="none" w:sz="0" w:space="0" w:color="auto"/>
            <w:left w:val="none" w:sz="0" w:space="0" w:color="auto"/>
            <w:bottom w:val="none" w:sz="0" w:space="0" w:color="auto"/>
            <w:right w:val="none" w:sz="0" w:space="0" w:color="auto"/>
          </w:divBdr>
        </w:div>
        <w:div w:id="1989047105">
          <w:marLeft w:val="0"/>
          <w:marRight w:val="0"/>
          <w:marTop w:val="0"/>
          <w:marBottom w:val="0"/>
          <w:divBdr>
            <w:top w:val="none" w:sz="0" w:space="0" w:color="auto"/>
            <w:left w:val="none" w:sz="0" w:space="0" w:color="auto"/>
            <w:bottom w:val="none" w:sz="0" w:space="0" w:color="auto"/>
            <w:right w:val="none" w:sz="0" w:space="0" w:color="auto"/>
          </w:divBdr>
        </w:div>
      </w:divsChild>
    </w:div>
    <w:div w:id="861168376">
      <w:bodyDiv w:val="1"/>
      <w:marLeft w:val="0"/>
      <w:marRight w:val="0"/>
      <w:marTop w:val="0"/>
      <w:marBottom w:val="0"/>
      <w:divBdr>
        <w:top w:val="none" w:sz="0" w:space="0" w:color="auto"/>
        <w:left w:val="none" w:sz="0" w:space="0" w:color="auto"/>
        <w:bottom w:val="none" w:sz="0" w:space="0" w:color="auto"/>
        <w:right w:val="none" w:sz="0" w:space="0" w:color="auto"/>
      </w:divBdr>
    </w:div>
    <w:div w:id="1026519599">
      <w:bodyDiv w:val="1"/>
      <w:marLeft w:val="0"/>
      <w:marRight w:val="0"/>
      <w:marTop w:val="0"/>
      <w:marBottom w:val="0"/>
      <w:divBdr>
        <w:top w:val="none" w:sz="0" w:space="0" w:color="auto"/>
        <w:left w:val="none" w:sz="0" w:space="0" w:color="auto"/>
        <w:bottom w:val="none" w:sz="0" w:space="0" w:color="auto"/>
        <w:right w:val="none" w:sz="0" w:space="0" w:color="auto"/>
      </w:divBdr>
    </w:div>
    <w:div w:id="1173111566">
      <w:bodyDiv w:val="1"/>
      <w:marLeft w:val="0"/>
      <w:marRight w:val="0"/>
      <w:marTop w:val="0"/>
      <w:marBottom w:val="0"/>
      <w:divBdr>
        <w:top w:val="none" w:sz="0" w:space="0" w:color="auto"/>
        <w:left w:val="none" w:sz="0" w:space="0" w:color="auto"/>
        <w:bottom w:val="none" w:sz="0" w:space="0" w:color="auto"/>
        <w:right w:val="none" w:sz="0" w:space="0" w:color="auto"/>
      </w:divBdr>
      <w:divsChild>
        <w:div w:id="392461852">
          <w:marLeft w:val="0"/>
          <w:marRight w:val="0"/>
          <w:marTop w:val="0"/>
          <w:marBottom w:val="0"/>
          <w:divBdr>
            <w:top w:val="none" w:sz="0" w:space="0" w:color="auto"/>
            <w:left w:val="none" w:sz="0" w:space="0" w:color="auto"/>
            <w:bottom w:val="none" w:sz="0" w:space="0" w:color="auto"/>
            <w:right w:val="none" w:sz="0" w:space="0" w:color="auto"/>
          </w:divBdr>
        </w:div>
        <w:div w:id="374814742">
          <w:marLeft w:val="0"/>
          <w:marRight w:val="0"/>
          <w:marTop w:val="0"/>
          <w:marBottom w:val="0"/>
          <w:divBdr>
            <w:top w:val="none" w:sz="0" w:space="0" w:color="auto"/>
            <w:left w:val="none" w:sz="0" w:space="0" w:color="auto"/>
            <w:bottom w:val="none" w:sz="0" w:space="0" w:color="auto"/>
            <w:right w:val="none" w:sz="0" w:space="0" w:color="auto"/>
          </w:divBdr>
        </w:div>
      </w:divsChild>
    </w:div>
    <w:div w:id="1565867341">
      <w:bodyDiv w:val="1"/>
      <w:marLeft w:val="0"/>
      <w:marRight w:val="0"/>
      <w:marTop w:val="0"/>
      <w:marBottom w:val="0"/>
      <w:divBdr>
        <w:top w:val="none" w:sz="0" w:space="0" w:color="auto"/>
        <w:left w:val="none" w:sz="0" w:space="0" w:color="auto"/>
        <w:bottom w:val="none" w:sz="0" w:space="0" w:color="auto"/>
        <w:right w:val="none" w:sz="0" w:space="0" w:color="auto"/>
      </w:divBdr>
      <w:divsChild>
        <w:div w:id="2146046397">
          <w:marLeft w:val="0"/>
          <w:marRight w:val="0"/>
          <w:marTop w:val="0"/>
          <w:marBottom w:val="0"/>
          <w:divBdr>
            <w:top w:val="none" w:sz="0" w:space="0" w:color="auto"/>
            <w:left w:val="none" w:sz="0" w:space="0" w:color="auto"/>
            <w:bottom w:val="none" w:sz="0" w:space="0" w:color="auto"/>
            <w:right w:val="none" w:sz="0" w:space="0" w:color="auto"/>
          </w:divBdr>
        </w:div>
        <w:div w:id="2127700319">
          <w:marLeft w:val="0"/>
          <w:marRight w:val="0"/>
          <w:marTop w:val="0"/>
          <w:marBottom w:val="0"/>
          <w:divBdr>
            <w:top w:val="none" w:sz="0" w:space="0" w:color="auto"/>
            <w:left w:val="none" w:sz="0" w:space="0" w:color="auto"/>
            <w:bottom w:val="none" w:sz="0" w:space="0" w:color="auto"/>
            <w:right w:val="none" w:sz="0" w:space="0" w:color="auto"/>
          </w:divBdr>
        </w:div>
      </w:divsChild>
    </w:div>
    <w:div w:id="1863279221">
      <w:bodyDiv w:val="1"/>
      <w:marLeft w:val="0"/>
      <w:marRight w:val="0"/>
      <w:marTop w:val="0"/>
      <w:marBottom w:val="0"/>
      <w:divBdr>
        <w:top w:val="none" w:sz="0" w:space="0" w:color="auto"/>
        <w:left w:val="none" w:sz="0" w:space="0" w:color="auto"/>
        <w:bottom w:val="none" w:sz="0" w:space="0" w:color="auto"/>
        <w:right w:val="none" w:sz="0" w:space="0" w:color="auto"/>
      </w:divBdr>
    </w:div>
    <w:div w:id="1918975605">
      <w:bodyDiv w:val="1"/>
      <w:marLeft w:val="0"/>
      <w:marRight w:val="0"/>
      <w:marTop w:val="0"/>
      <w:marBottom w:val="0"/>
      <w:divBdr>
        <w:top w:val="none" w:sz="0" w:space="0" w:color="auto"/>
        <w:left w:val="none" w:sz="0" w:space="0" w:color="auto"/>
        <w:bottom w:val="none" w:sz="0" w:space="0" w:color="auto"/>
        <w:right w:val="none" w:sz="0" w:space="0" w:color="auto"/>
      </w:divBdr>
    </w:div>
    <w:div w:id="212719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ph.fi/fi/koulutus-ja-tutkinnot/terveystiedon-paattoarvioinnin-tukimateriaal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6" ma:contentTypeDescription="Luo uusi asiakirja." ma:contentTypeScope="" ma:versionID="c84ce3e0bfea32cbf1e265b4ea230087">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c0f48b7a475d84cfc11da70b3d2179fd"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45F0D-3618-4767-9673-544A07E67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4D86A-17CF-494B-A495-4CCCFD3F8195}">
  <ds:schemaRefs>
    <ds:schemaRef ds:uri="http://schemas.microsoft.com/sharepoint/v3/contenttype/forms"/>
  </ds:schemaRefs>
</ds:datastoreItem>
</file>

<file path=customXml/itemProps3.xml><?xml version="1.0" encoding="utf-8"?>
<ds:datastoreItem xmlns:ds="http://schemas.openxmlformats.org/officeDocument/2006/customXml" ds:itemID="{97246251-48E1-4AAA-85FD-3CEEB32272A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3b56573-65e0-4cd8-a089-0ef213841ae3"/>
    <ds:schemaRef ds:uri="ba64c075-4be2-4d04-96b7-e0f78b363a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6436</Characters>
  <Application>Microsoft Office Word</Application>
  <DocSecurity>0</DocSecurity>
  <Lines>53</Lines>
  <Paragraphs>14</Paragraphs>
  <ScaleCrop>false</ScaleCrop>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34</cp:revision>
  <dcterms:created xsi:type="dcterms:W3CDTF">2023-05-08T10:29:00Z</dcterms:created>
  <dcterms:modified xsi:type="dcterms:W3CDTF">2024-03-13T14:16:00Z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