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3709"/>
        <w:gridCol w:w="928"/>
        <w:gridCol w:w="2826"/>
        <w:gridCol w:w="261"/>
        <w:gridCol w:w="2370"/>
        <w:gridCol w:w="2375"/>
        <w:gridCol w:w="2845"/>
      </w:tblGrid>
      <w:tr w:rsidR="003340BA" w:rsidRPr="0032374F" w14:paraId="06B7B5B3" w14:textId="77777777" w:rsidTr="006F47E3">
        <w:trPr>
          <w:trHeight w:val="28"/>
          <w:jc w:val="center"/>
        </w:trPr>
        <w:tc>
          <w:tcPr>
            <w:tcW w:w="7463" w:type="dxa"/>
            <w:gridSpan w:val="3"/>
            <w:tcBorders>
              <w:right w:val="nil"/>
            </w:tcBorders>
            <w:shd w:val="clear" w:color="auto" w:fill="auto"/>
            <w:tcMar>
              <w:top w:w="100" w:type="dxa"/>
              <w:left w:w="100" w:type="dxa"/>
              <w:bottom w:w="100" w:type="dxa"/>
              <w:right w:w="100" w:type="dxa"/>
            </w:tcMar>
          </w:tcPr>
          <w:p w14:paraId="28F7503F" w14:textId="0ABCEF67" w:rsidR="003340BA" w:rsidRDefault="00861481" w:rsidP="00861481">
            <w:pPr>
              <w:spacing w:after="0" w:line="240" w:lineRule="auto"/>
              <w:contextualSpacing/>
              <w:rPr>
                <w:rFonts w:eastAsia="Times New Roman" w:cstheme="minorHAnsi"/>
                <w:b/>
                <w:bCs/>
                <w:sz w:val="22"/>
                <w:szCs w:val="22"/>
                <w:lang w:eastAsia="fi-FI"/>
              </w:rPr>
            </w:pPr>
            <w:r>
              <w:rPr>
                <w:rFonts w:eastAsia="Times New Roman" w:cstheme="minorHAnsi"/>
                <w:sz w:val="22"/>
                <w:szCs w:val="22"/>
                <w:lang w:eastAsia="fi-FI"/>
              </w:rPr>
              <w:t>MA 8lk – Arvosana viisi</w:t>
            </w:r>
            <w:r>
              <w:rPr>
                <w:rFonts w:eastAsia="Times New Roman" w:cstheme="minorHAnsi"/>
                <w:b/>
                <w:bCs/>
                <w:sz w:val="22"/>
                <w:szCs w:val="22"/>
                <w:lang w:eastAsia="fi-FI"/>
              </w:rPr>
              <w:br/>
            </w:r>
            <w:r>
              <w:rPr>
                <w:rFonts w:eastAsia="Times New Roman" w:cstheme="minorHAnsi"/>
                <w:b/>
                <w:bCs/>
                <w:sz w:val="22"/>
                <w:szCs w:val="22"/>
                <w:lang w:eastAsia="fi-FI"/>
              </w:rPr>
              <w:br/>
            </w:r>
            <w:r w:rsidR="003340BA" w:rsidRPr="0032374F">
              <w:rPr>
                <w:rFonts w:eastAsia="Times New Roman" w:cstheme="minorHAnsi"/>
                <w:b/>
                <w:bCs/>
                <w:sz w:val="22"/>
                <w:szCs w:val="22"/>
                <w:lang w:eastAsia="fi-FI"/>
              </w:rPr>
              <w:t>S1 Ajattelun taidot ja menetelmät</w:t>
            </w:r>
          </w:p>
          <w:p w14:paraId="27CFF44D"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looginen ajattel</w:t>
            </w:r>
            <w:r>
              <w:rPr>
                <w:rFonts w:eastAsia="Times New Roman" w:cstheme="minorHAnsi"/>
                <w:sz w:val="22"/>
                <w:szCs w:val="22"/>
                <w:lang w:eastAsia="fi-FI"/>
              </w:rPr>
              <w:t>u</w:t>
            </w:r>
          </w:p>
          <w:p w14:paraId="6799E0CA"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päättelykyvyn vahvistaminen</w:t>
            </w:r>
          </w:p>
          <w:p w14:paraId="4C7475B5"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täsmällinen esittäminen</w:t>
            </w:r>
          </w:p>
          <w:p w14:paraId="2004A0FC"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tuloksen arviointi ja pyöristäminen</w:t>
            </w:r>
          </w:p>
          <w:p w14:paraId="36E76CB4"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laskimen käyttö</w:t>
            </w:r>
          </w:p>
          <w:p w14:paraId="341B2F7A"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ohjelmointi</w:t>
            </w:r>
          </w:p>
          <w:p w14:paraId="010838FE" w14:textId="77777777" w:rsidR="003340BA" w:rsidRDefault="003340BA" w:rsidP="00861481">
            <w:pPr>
              <w:spacing w:after="0" w:line="240" w:lineRule="auto"/>
              <w:ind w:left="82"/>
              <w:rPr>
                <w:rFonts w:eastAsia="Times New Roman" w:cstheme="minorHAnsi"/>
                <w:b/>
                <w:bCs/>
                <w:sz w:val="22"/>
                <w:szCs w:val="22"/>
                <w:lang w:eastAsia="fi-FI"/>
              </w:rPr>
            </w:pPr>
          </w:p>
          <w:p w14:paraId="3C6DFAD8" w14:textId="76B10B37" w:rsidR="003340BA" w:rsidRPr="003340BA" w:rsidRDefault="003340BA" w:rsidP="00861481">
            <w:pPr>
              <w:spacing w:after="0" w:line="240" w:lineRule="auto"/>
              <w:rPr>
                <w:rFonts w:eastAsia="Times New Roman" w:cstheme="minorHAnsi"/>
                <w:b/>
                <w:bCs/>
                <w:sz w:val="22"/>
                <w:szCs w:val="22"/>
                <w:lang w:eastAsia="fi-FI"/>
              </w:rPr>
            </w:pPr>
            <w:r w:rsidRPr="003340BA">
              <w:rPr>
                <w:rFonts w:eastAsia="Times New Roman" w:cstheme="minorHAnsi"/>
                <w:b/>
                <w:bCs/>
                <w:sz w:val="22"/>
                <w:szCs w:val="22"/>
                <w:lang w:eastAsia="fi-FI"/>
              </w:rPr>
              <w:t>S2 Luvut ja laskutoimitukset</w:t>
            </w:r>
          </w:p>
          <w:p w14:paraId="096D8963"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prosenttilaskenta (prosenttiosuus, prosenttiarvo, muutos- ja vertailuprosentti, muuttunut arvo)</w:t>
            </w:r>
          </w:p>
          <w:p w14:paraId="728E65B5" w14:textId="77777777" w:rsidR="003340BA" w:rsidRDefault="003340BA" w:rsidP="00861481">
            <w:pPr>
              <w:spacing w:after="0" w:line="240" w:lineRule="auto"/>
              <w:ind w:left="82"/>
              <w:rPr>
                <w:rFonts w:eastAsia="Times New Roman" w:cstheme="minorHAnsi"/>
                <w:b/>
                <w:bCs/>
                <w:sz w:val="22"/>
                <w:szCs w:val="22"/>
                <w:lang w:eastAsia="fi-FI"/>
              </w:rPr>
            </w:pPr>
          </w:p>
          <w:p w14:paraId="15355ECA" w14:textId="54E1B94B" w:rsidR="003340BA" w:rsidRPr="003340BA" w:rsidRDefault="003340BA" w:rsidP="00861481">
            <w:pPr>
              <w:spacing w:after="0" w:line="240" w:lineRule="auto"/>
              <w:rPr>
                <w:rFonts w:eastAsia="Times New Roman" w:cstheme="minorHAnsi"/>
                <w:b/>
                <w:bCs/>
                <w:sz w:val="22"/>
                <w:szCs w:val="22"/>
                <w:lang w:eastAsia="fi-FI"/>
              </w:rPr>
            </w:pPr>
            <w:r w:rsidRPr="003340BA">
              <w:rPr>
                <w:rFonts w:eastAsia="Times New Roman" w:cstheme="minorHAnsi"/>
                <w:b/>
                <w:bCs/>
                <w:sz w:val="22"/>
                <w:szCs w:val="22"/>
                <w:lang w:eastAsia="fi-FI"/>
              </w:rPr>
              <w:t>S3 Algebra</w:t>
            </w:r>
          </w:p>
          <w:p w14:paraId="72686189" w14:textId="77777777"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potenssit </w:t>
            </w:r>
          </w:p>
          <w:p w14:paraId="5A2327E9"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neliöjuuri</w:t>
            </w:r>
          </w:p>
          <w:p w14:paraId="211215E4"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polynomit</w:t>
            </w:r>
          </w:p>
          <w:p w14:paraId="427DB912"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yhtälöt (1. asteen yhtälö ja vaillinainen 2. asteen yhtälö)</w:t>
            </w:r>
          </w:p>
          <w:p w14:paraId="719FA710"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suoran yhtälö ja suoran piirtäminen</w:t>
            </w:r>
          </w:p>
          <w:p w14:paraId="6BED57D3"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suhde ja verranto</w:t>
            </w:r>
          </w:p>
          <w:p w14:paraId="18C73BFC" w14:textId="77777777" w:rsidR="003340BA" w:rsidRPr="00861481"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verrannollisuus</w:t>
            </w:r>
          </w:p>
          <w:p w14:paraId="411D8882" w14:textId="77777777" w:rsidR="00861481" w:rsidRDefault="00861481" w:rsidP="00861481">
            <w:pPr>
              <w:spacing w:after="0" w:line="240" w:lineRule="auto"/>
              <w:rPr>
                <w:rFonts w:eastAsia="Times New Roman" w:cstheme="minorHAnsi"/>
                <w:b/>
                <w:bCs/>
                <w:sz w:val="22"/>
                <w:szCs w:val="22"/>
                <w:lang w:eastAsia="fi-FI"/>
              </w:rPr>
            </w:pPr>
          </w:p>
          <w:p w14:paraId="250AA7B7" w14:textId="77777777" w:rsidR="00861481" w:rsidRPr="00861481" w:rsidRDefault="00861481" w:rsidP="00861481">
            <w:pPr>
              <w:spacing w:after="0" w:line="240" w:lineRule="auto"/>
              <w:rPr>
                <w:rFonts w:eastAsia="Times New Roman" w:cstheme="minorHAnsi"/>
                <w:b/>
                <w:bCs/>
                <w:sz w:val="22"/>
                <w:szCs w:val="22"/>
                <w:lang w:eastAsia="fi-FI"/>
              </w:rPr>
            </w:pPr>
            <w:r w:rsidRPr="00861481">
              <w:rPr>
                <w:rFonts w:eastAsia="Times New Roman" w:cstheme="minorHAnsi"/>
                <w:b/>
                <w:bCs/>
                <w:sz w:val="22"/>
                <w:szCs w:val="22"/>
                <w:lang w:eastAsia="fi-FI"/>
              </w:rPr>
              <w:t>S5 Geometria</w:t>
            </w:r>
          </w:p>
          <w:p w14:paraId="24D0CBB5" w14:textId="77777777" w:rsidR="00861481" w:rsidRPr="003340BA" w:rsidRDefault="00861481"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yhdenmuotoisuus, yhtenevyys ja mittakaava</w:t>
            </w:r>
          </w:p>
          <w:p w14:paraId="7923A961" w14:textId="77777777" w:rsidR="00861481" w:rsidRPr="003340BA" w:rsidRDefault="00861481"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pyöristyssäännöt</w:t>
            </w:r>
          </w:p>
          <w:p w14:paraId="6825EB24" w14:textId="77777777" w:rsidR="00861481" w:rsidRPr="00861481" w:rsidRDefault="00861481"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Pythagoraan lause</w:t>
            </w:r>
          </w:p>
          <w:p w14:paraId="68500F42" w14:textId="77777777" w:rsidR="00861481" w:rsidRPr="004770CC" w:rsidRDefault="00861481"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piiri ja pinta-ala (ympyrä)</w:t>
            </w:r>
          </w:p>
          <w:p w14:paraId="03A80C35" w14:textId="6198B848" w:rsidR="004770CC" w:rsidRPr="00861481" w:rsidRDefault="004770CC" w:rsidP="004770CC">
            <w:pPr>
              <w:pStyle w:val="Luettelokappale"/>
              <w:spacing w:after="0" w:line="240" w:lineRule="auto"/>
              <w:ind w:left="330"/>
              <w:rPr>
                <w:rFonts w:eastAsia="Times New Roman" w:cstheme="minorHAnsi"/>
                <w:b/>
                <w:bCs/>
                <w:sz w:val="22"/>
                <w:szCs w:val="22"/>
                <w:lang w:eastAsia="fi-FI"/>
              </w:rPr>
            </w:pPr>
          </w:p>
        </w:tc>
        <w:tc>
          <w:tcPr>
            <w:tcW w:w="7851" w:type="dxa"/>
            <w:gridSpan w:val="4"/>
            <w:tcBorders>
              <w:left w:val="nil"/>
            </w:tcBorders>
            <w:shd w:val="clear" w:color="auto" w:fill="auto"/>
          </w:tcPr>
          <w:p w14:paraId="7375E2C5" w14:textId="77777777" w:rsidR="003340BA" w:rsidRDefault="003340BA" w:rsidP="00861481">
            <w:pPr>
              <w:spacing w:after="0" w:line="240" w:lineRule="auto"/>
              <w:ind w:left="82"/>
              <w:rPr>
                <w:rFonts w:eastAsia="Times New Roman" w:cstheme="minorHAnsi"/>
                <w:b/>
                <w:bCs/>
                <w:sz w:val="22"/>
                <w:szCs w:val="22"/>
                <w:lang w:eastAsia="fi-FI"/>
              </w:rPr>
            </w:pPr>
          </w:p>
          <w:p w14:paraId="20DAD35C" w14:textId="77777777" w:rsidR="00861481" w:rsidRDefault="00861481" w:rsidP="00861481">
            <w:pPr>
              <w:spacing w:after="0" w:line="240" w:lineRule="auto"/>
              <w:rPr>
                <w:rFonts w:eastAsia="Times New Roman" w:cstheme="minorHAnsi"/>
                <w:b/>
                <w:bCs/>
                <w:sz w:val="22"/>
                <w:szCs w:val="22"/>
                <w:lang w:eastAsia="fi-FI"/>
              </w:rPr>
            </w:pPr>
          </w:p>
          <w:p w14:paraId="493AA037" w14:textId="3AE290D3" w:rsidR="003340BA" w:rsidRPr="003340BA" w:rsidRDefault="003340BA" w:rsidP="00861481">
            <w:pPr>
              <w:spacing w:after="0" w:line="240" w:lineRule="auto"/>
              <w:rPr>
                <w:rFonts w:eastAsia="Times New Roman" w:cstheme="minorHAnsi"/>
                <w:b/>
                <w:bCs/>
                <w:sz w:val="22"/>
                <w:szCs w:val="22"/>
                <w:lang w:eastAsia="fi-FI"/>
              </w:rPr>
            </w:pPr>
            <w:r w:rsidRPr="003340BA">
              <w:rPr>
                <w:rFonts w:eastAsia="Times New Roman" w:cstheme="minorHAnsi"/>
                <w:b/>
                <w:bCs/>
                <w:sz w:val="22"/>
                <w:szCs w:val="22"/>
                <w:lang w:eastAsia="fi-FI"/>
              </w:rPr>
              <w:t>S6 Tietojen käsittely ja tilastot sekä todennäköisyys</w:t>
            </w:r>
          </w:p>
          <w:p w14:paraId="14BCAFEA"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tilastojen tulkinta ja tuottaminen</w:t>
            </w:r>
          </w:p>
          <w:p w14:paraId="3D0D197A"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tilastolliset tunnusluvut (frekvenssi, keskiluvut ja hajonta)</w:t>
            </w:r>
          </w:p>
          <w:p w14:paraId="0137A17F" w14:textId="77777777" w:rsidR="003340BA" w:rsidRDefault="003340BA" w:rsidP="00861481">
            <w:pPr>
              <w:spacing w:after="0" w:line="240" w:lineRule="auto"/>
              <w:ind w:left="82"/>
              <w:rPr>
                <w:rFonts w:eastAsia="Times New Roman" w:cstheme="minorHAnsi"/>
                <w:b/>
                <w:bCs/>
                <w:sz w:val="22"/>
                <w:szCs w:val="22"/>
                <w:lang w:eastAsia="fi-FI"/>
              </w:rPr>
            </w:pPr>
          </w:p>
          <w:p w14:paraId="5AFF0A46" w14:textId="3D625A86" w:rsidR="003340BA" w:rsidRPr="003340BA" w:rsidRDefault="003340BA" w:rsidP="00861481">
            <w:pPr>
              <w:spacing w:after="0" w:line="240" w:lineRule="auto"/>
              <w:rPr>
                <w:rFonts w:eastAsia="Times New Roman" w:cstheme="minorHAnsi"/>
                <w:b/>
                <w:bCs/>
                <w:sz w:val="22"/>
                <w:szCs w:val="22"/>
                <w:lang w:eastAsia="fi-FI"/>
              </w:rPr>
            </w:pPr>
            <w:r w:rsidRPr="003340BA">
              <w:rPr>
                <w:rFonts w:eastAsia="Times New Roman" w:cstheme="minorHAnsi"/>
                <w:b/>
                <w:bCs/>
                <w:sz w:val="22"/>
                <w:szCs w:val="22"/>
                <w:lang w:eastAsia="fi-FI"/>
              </w:rPr>
              <w:t>Ehdotettu etenemisjärjestys:</w:t>
            </w:r>
          </w:p>
          <w:p w14:paraId="2B3CA439"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ohjelmointi</w:t>
            </w:r>
          </w:p>
          <w:p w14:paraId="359A97BB"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prosenttilaskenta (prosenttiosuus, prosenttiarvo, muutos- ja vertailuprosentti, muuttunut arvo)</w:t>
            </w:r>
          </w:p>
          <w:p w14:paraId="190E878E"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tilastojen tulkinta ja tuottaminen</w:t>
            </w:r>
          </w:p>
          <w:p w14:paraId="57D94056"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tilastolliset tunnusluvut (frekvenssi, keskiluvut ja hajonta)</w:t>
            </w:r>
          </w:p>
          <w:p w14:paraId="45F5287D"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potenssit</w:t>
            </w:r>
          </w:p>
          <w:p w14:paraId="7DA851A8"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neliöjuuri</w:t>
            </w:r>
          </w:p>
          <w:p w14:paraId="3096DB23"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polynomit</w:t>
            </w:r>
          </w:p>
          <w:p w14:paraId="7D396AC1"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 xml:space="preserve">yhtälöt (1.asteen yhtälö ja </w:t>
            </w:r>
            <w:proofErr w:type="spellStart"/>
            <w:r w:rsidRPr="00E4621F">
              <w:rPr>
                <w:rFonts w:eastAsia="Times New Roman" w:cstheme="minorHAnsi"/>
                <w:sz w:val="22"/>
                <w:szCs w:val="22"/>
                <w:lang w:eastAsia="fi-FI"/>
              </w:rPr>
              <w:t>vailinainen</w:t>
            </w:r>
            <w:proofErr w:type="spellEnd"/>
            <w:r w:rsidRPr="00E4621F">
              <w:rPr>
                <w:rFonts w:eastAsia="Times New Roman" w:cstheme="minorHAnsi"/>
                <w:sz w:val="22"/>
                <w:szCs w:val="22"/>
                <w:lang w:eastAsia="fi-FI"/>
              </w:rPr>
              <w:t xml:space="preserve"> 2.asteen yhtälö)</w:t>
            </w:r>
          </w:p>
          <w:p w14:paraId="7D27B2F7"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suoran yhtälö ja suoran piirtäminen</w:t>
            </w:r>
          </w:p>
          <w:p w14:paraId="5D3BC3FC"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suhde ja verranto</w:t>
            </w:r>
          </w:p>
          <w:p w14:paraId="03B29B6E"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verrannollisuus</w:t>
            </w:r>
          </w:p>
          <w:p w14:paraId="435280A9"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yhdenmuotoisuus, yhtenevyys ja mittakaava</w:t>
            </w:r>
          </w:p>
          <w:p w14:paraId="300C05D2"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pyöristyssäännöt</w:t>
            </w:r>
          </w:p>
          <w:p w14:paraId="6D2B8F6E" w14:textId="77777777" w:rsidR="003340BA" w:rsidRPr="003340BA"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Pythagoraan lause</w:t>
            </w:r>
          </w:p>
          <w:p w14:paraId="5E62933F" w14:textId="449D9A0C" w:rsidR="003340BA" w:rsidRPr="00E4621F" w:rsidRDefault="003340BA" w:rsidP="00861481">
            <w:pPr>
              <w:pStyle w:val="Luettelokappale"/>
              <w:numPr>
                <w:ilvl w:val="0"/>
                <w:numId w:val="1"/>
              </w:numPr>
              <w:spacing w:after="0" w:line="240" w:lineRule="auto"/>
              <w:ind w:left="330" w:hanging="248"/>
              <w:rPr>
                <w:rFonts w:eastAsia="Times New Roman" w:cstheme="minorHAnsi"/>
                <w:b/>
                <w:bCs/>
                <w:sz w:val="22"/>
                <w:szCs w:val="22"/>
                <w:lang w:eastAsia="fi-FI"/>
              </w:rPr>
            </w:pPr>
            <w:r w:rsidRPr="00E4621F">
              <w:rPr>
                <w:rFonts w:eastAsia="Times New Roman" w:cstheme="minorHAnsi"/>
                <w:sz w:val="22"/>
                <w:szCs w:val="22"/>
                <w:lang w:eastAsia="fi-FI"/>
              </w:rPr>
              <w:t>piiri ja pinta-ala (ympyrä)</w:t>
            </w:r>
          </w:p>
        </w:tc>
      </w:tr>
      <w:tr w:rsidR="005329D9" w:rsidRPr="0032374F" w14:paraId="26BE4FC5" w14:textId="77777777" w:rsidTr="2DD31F93">
        <w:trPr>
          <w:trHeight w:val="28"/>
          <w:jc w:val="center"/>
        </w:trPr>
        <w:tc>
          <w:tcPr>
            <w:tcW w:w="15314" w:type="dxa"/>
            <w:gridSpan w:val="7"/>
            <w:shd w:val="clear" w:color="auto" w:fill="FFF2CC" w:themeFill="accent4" w:themeFillTint="33"/>
            <w:tcMar>
              <w:top w:w="100" w:type="dxa"/>
              <w:left w:w="100" w:type="dxa"/>
              <w:bottom w:w="100" w:type="dxa"/>
              <w:right w:w="100" w:type="dxa"/>
            </w:tcMar>
          </w:tcPr>
          <w:p w14:paraId="062237A9" w14:textId="77777777" w:rsidR="005329D9" w:rsidRDefault="5239DD70" w:rsidP="2DD31F93">
            <w:pPr>
              <w:spacing w:after="0" w:line="240" w:lineRule="auto"/>
              <w:ind w:left="40"/>
              <w:contextualSpacing/>
              <w:rPr>
                <w:rFonts w:eastAsia="Times New Roman"/>
                <w:sz w:val="22"/>
                <w:szCs w:val="22"/>
                <w:lang w:eastAsia="fi-FI"/>
              </w:rPr>
            </w:pPr>
            <w:r w:rsidRPr="2DD31F93">
              <w:rPr>
                <w:rFonts w:ascii="Calibri" w:eastAsia="Calibri" w:hAnsi="Calibri" w:cs="Calibri"/>
                <w:color w:val="000000" w:themeColor="text1"/>
                <w:sz w:val="22"/>
                <w:szCs w:val="22"/>
              </w:rPr>
              <w:t>OPH:n tukimateriaali päättöarviointiin:</w:t>
            </w:r>
            <w:r w:rsidR="00F12CA2" w:rsidRPr="2DD31F93">
              <w:rPr>
                <w:rFonts w:eastAsia="Times New Roman"/>
                <w:sz w:val="22"/>
                <w:szCs w:val="22"/>
                <w:lang w:eastAsia="fi-FI"/>
              </w:rPr>
              <w:t xml:space="preserve"> </w:t>
            </w:r>
            <w:hyperlink r:id="rId10">
              <w:r w:rsidR="00F12CA2" w:rsidRPr="2DD31F93">
                <w:rPr>
                  <w:rStyle w:val="Hyperlinkki"/>
                  <w:rFonts w:eastAsia="Times New Roman"/>
                  <w:sz w:val="22"/>
                  <w:szCs w:val="22"/>
                  <w:lang w:eastAsia="fi-FI"/>
                </w:rPr>
                <w:t>https://www.oph.fi/fi/koulutus-ja-tutkinnot/matematiikan-paattoarviointi</w:t>
              </w:r>
            </w:hyperlink>
            <w:r w:rsidR="00F12CA2" w:rsidRPr="2DD31F93">
              <w:rPr>
                <w:rFonts w:eastAsia="Times New Roman"/>
                <w:sz w:val="22"/>
                <w:szCs w:val="22"/>
                <w:lang w:eastAsia="fi-FI"/>
              </w:rPr>
              <w:t xml:space="preserve"> </w:t>
            </w:r>
          </w:p>
          <w:p w14:paraId="1EF5BC5D" w14:textId="77777777" w:rsidR="005F4234" w:rsidRDefault="005F4234" w:rsidP="005F42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Tavoitteet T10 ja T12 arvioidaan ainoastaan vuosiluokilla 7 ja 8 Jyväskylän </w:t>
            </w:r>
            <w:proofErr w:type="spellStart"/>
            <w:r>
              <w:rPr>
                <w:rStyle w:val="normaltextrun"/>
                <w:rFonts w:ascii="Calibri" w:hAnsi="Calibri" w:cs="Calibri"/>
                <w:sz w:val="22"/>
                <w:szCs w:val="22"/>
              </w:rPr>
              <w:t>vuosiluokkaistamisten</w:t>
            </w:r>
            <w:proofErr w:type="spellEnd"/>
            <w:r>
              <w:rPr>
                <w:rStyle w:val="normaltextrun"/>
                <w:rFonts w:ascii="Calibri" w:hAnsi="Calibri" w:cs="Calibri"/>
                <w:sz w:val="22"/>
                <w:szCs w:val="22"/>
              </w:rPr>
              <w:t xml:space="preserve"> mukaisesti.</w:t>
            </w:r>
            <w:r>
              <w:rPr>
                <w:rStyle w:val="eop"/>
                <w:rFonts w:ascii="Calibri" w:hAnsi="Calibri" w:cs="Calibri"/>
                <w:sz w:val="22"/>
                <w:szCs w:val="22"/>
              </w:rPr>
              <w:t> </w:t>
            </w:r>
          </w:p>
          <w:p w14:paraId="586E9E5E" w14:textId="6D2D1FD3" w:rsidR="005F4234" w:rsidRPr="005F4234" w:rsidRDefault="005F4234" w:rsidP="005F423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Tavoite T20 arvioidaan ainoastaan vuosiluokalla 8 Jyväskylän </w:t>
            </w:r>
            <w:proofErr w:type="spellStart"/>
            <w:r>
              <w:rPr>
                <w:rStyle w:val="normaltextrun"/>
                <w:rFonts w:ascii="Calibri" w:hAnsi="Calibri" w:cs="Calibri"/>
                <w:sz w:val="22"/>
                <w:szCs w:val="22"/>
              </w:rPr>
              <w:t>vuosiluokkaistamisten</w:t>
            </w:r>
            <w:proofErr w:type="spellEnd"/>
            <w:r>
              <w:rPr>
                <w:rStyle w:val="normaltextrun"/>
                <w:rFonts w:ascii="Calibri" w:hAnsi="Calibri" w:cs="Calibri"/>
                <w:sz w:val="22"/>
                <w:szCs w:val="22"/>
              </w:rPr>
              <w:t xml:space="preserve"> mukaisesti.</w:t>
            </w:r>
            <w:r>
              <w:rPr>
                <w:rStyle w:val="eop"/>
                <w:rFonts w:ascii="Calibri" w:hAnsi="Calibri" w:cs="Calibri"/>
                <w:sz w:val="22"/>
                <w:szCs w:val="22"/>
              </w:rPr>
              <w:t> </w:t>
            </w:r>
          </w:p>
        </w:tc>
      </w:tr>
      <w:tr w:rsidR="00C43AC4" w:rsidRPr="0032374F" w14:paraId="5C11A66D" w14:textId="080F099C" w:rsidTr="006F47E3">
        <w:trPr>
          <w:trHeight w:val="28"/>
          <w:jc w:val="center"/>
        </w:trPr>
        <w:tc>
          <w:tcPr>
            <w:tcW w:w="3709" w:type="dxa"/>
            <w:shd w:val="clear" w:color="auto" w:fill="B4C6E7" w:themeFill="accent1" w:themeFillTint="66"/>
            <w:tcMar>
              <w:top w:w="100" w:type="dxa"/>
              <w:left w:w="100" w:type="dxa"/>
              <w:bottom w:w="100" w:type="dxa"/>
              <w:right w:w="100" w:type="dxa"/>
            </w:tcMar>
            <w:hideMark/>
          </w:tcPr>
          <w:p w14:paraId="1B952646"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b/>
                <w:bCs/>
                <w:sz w:val="22"/>
                <w:szCs w:val="22"/>
                <w:lang w:eastAsia="fi-FI"/>
              </w:rPr>
              <w:lastRenderedPageBreak/>
              <w:t>Opetuksen tavoite</w:t>
            </w:r>
          </w:p>
        </w:tc>
        <w:tc>
          <w:tcPr>
            <w:tcW w:w="928" w:type="dxa"/>
            <w:shd w:val="clear" w:color="auto" w:fill="B4C6E7" w:themeFill="accent1" w:themeFillTint="66"/>
            <w:tcMar>
              <w:top w:w="100" w:type="dxa"/>
              <w:left w:w="100" w:type="dxa"/>
              <w:bottom w:w="100" w:type="dxa"/>
              <w:right w:w="100" w:type="dxa"/>
            </w:tcMar>
            <w:hideMark/>
          </w:tcPr>
          <w:p w14:paraId="43EA0D97" w14:textId="4CDFEFD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b/>
                <w:bCs/>
                <w:sz w:val="22"/>
                <w:szCs w:val="22"/>
                <w:lang w:eastAsia="fi-FI"/>
              </w:rPr>
              <w:t>Sisältö</w:t>
            </w:r>
            <w:r w:rsidR="00330DBD">
              <w:rPr>
                <w:rFonts w:eastAsia="Times New Roman" w:cstheme="minorHAnsi"/>
                <w:b/>
                <w:bCs/>
                <w:sz w:val="22"/>
                <w:szCs w:val="22"/>
                <w:lang w:eastAsia="fi-FI"/>
              </w:rPr>
              <w:t>-</w:t>
            </w:r>
            <w:r w:rsidRPr="0032374F">
              <w:rPr>
                <w:rFonts w:eastAsia="Times New Roman" w:cstheme="minorHAnsi"/>
                <w:b/>
                <w:bCs/>
                <w:sz w:val="22"/>
                <w:szCs w:val="22"/>
                <w:lang w:eastAsia="fi-FI"/>
              </w:rPr>
              <w:t>alueet</w:t>
            </w:r>
          </w:p>
        </w:tc>
        <w:tc>
          <w:tcPr>
            <w:tcW w:w="3087" w:type="dxa"/>
            <w:gridSpan w:val="2"/>
            <w:shd w:val="clear" w:color="auto" w:fill="B4C6E7" w:themeFill="accent1" w:themeFillTint="66"/>
            <w:tcMar>
              <w:top w:w="100" w:type="dxa"/>
              <w:left w:w="100" w:type="dxa"/>
              <w:bottom w:w="100" w:type="dxa"/>
              <w:right w:w="100" w:type="dxa"/>
            </w:tcMar>
            <w:hideMark/>
          </w:tcPr>
          <w:p w14:paraId="0518429C"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b/>
                <w:bCs/>
                <w:sz w:val="22"/>
                <w:szCs w:val="22"/>
                <w:lang w:eastAsia="fi-FI"/>
              </w:rPr>
              <w:t xml:space="preserve">Opetuksen tavoitteista johdetut oppimisen tavoitteet </w:t>
            </w:r>
          </w:p>
        </w:tc>
        <w:tc>
          <w:tcPr>
            <w:tcW w:w="2370" w:type="dxa"/>
            <w:shd w:val="clear" w:color="auto" w:fill="B4C6E7" w:themeFill="accent1" w:themeFillTint="66"/>
            <w:tcMar>
              <w:top w:w="100" w:type="dxa"/>
              <w:left w:w="100" w:type="dxa"/>
              <w:bottom w:w="100" w:type="dxa"/>
              <w:right w:w="100" w:type="dxa"/>
            </w:tcMar>
            <w:hideMark/>
          </w:tcPr>
          <w:p w14:paraId="0EC00B9A"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b/>
                <w:bCs/>
                <w:sz w:val="22"/>
                <w:szCs w:val="22"/>
                <w:lang w:eastAsia="fi-FI"/>
              </w:rPr>
              <w:t>Arvioinnin kohde</w:t>
            </w:r>
          </w:p>
        </w:tc>
        <w:tc>
          <w:tcPr>
            <w:tcW w:w="2375" w:type="dxa"/>
            <w:shd w:val="clear" w:color="auto" w:fill="B4C6E7" w:themeFill="accent1" w:themeFillTint="66"/>
            <w:tcMar>
              <w:top w:w="100" w:type="dxa"/>
              <w:left w:w="100" w:type="dxa"/>
              <w:bottom w:w="100" w:type="dxa"/>
              <w:right w:w="100" w:type="dxa"/>
            </w:tcMar>
            <w:hideMark/>
          </w:tcPr>
          <w:p w14:paraId="7889DDDF"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b/>
                <w:bCs/>
                <w:sz w:val="22"/>
                <w:szCs w:val="22"/>
                <w:lang w:eastAsia="fi-FI"/>
              </w:rPr>
              <w:t xml:space="preserve">Osaamisen kuvaus arvosanalle 5 </w:t>
            </w:r>
          </w:p>
        </w:tc>
        <w:tc>
          <w:tcPr>
            <w:tcW w:w="2845" w:type="dxa"/>
            <w:shd w:val="clear" w:color="auto" w:fill="B4C6E7" w:themeFill="accent1" w:themeFillTint="66"/>
          </w:tcPr>
          <w:p w14:paraId="43F06450" w14:textId="6E69EBE2" w:rsidR="00C43AC4" w:rsidRPr="0032374F" w:rsidRDefault="00C43AC4" w:rsidP="00861481">
            <w:pPr>
              <w:spacing w:after="0" w:line="240" w:lineRule="auto"/>
              <w:ind w:left="40"/>
              <w:contextualSpacing/>
              <w:rPr>
                <w:rFonts w:eastAsia="Times New Roman" w:cstheme="minorHAnsi"/>
                <w:b/>
                <w:bCs/>
                <w:sz w:val="22"/>
                <w:szCs w:val="22"/>
                <w:lang w:eastAsia="fi-FI"/>
              </w:rPr>
            </w:pPr>
            <w:r w:rsidRPr="0032374F">
              <w:rPr>
                <w:rFonts w:eastAsia="Times New Roman" w:cstheme="minorHAnsi"/>
                <w:b/>
                <w:bCs/>
                <w:sz w:val="22"/>
                <w:szCs w:val="22"/>
                <w:lang w:eastAsia="fi-FI"/>
              </w:rPr>
              <w:t>Käytännönläheisiä esimerkkejä</w:t>
            </w:r>
          </w:p>
        </w:tc>
      </w:tr>
      <w:tr w:rsidR="00C43AC4" w:rsidRPr="0032374F" w14:paraId="77376B0B" w14:textId="77777777" w:rsidTr="2DD31F93">
        <w:trPr>
          <w:trHeight w:val="283"/>
          <w:jc w:val="center"/>
        </w:trPr>
        <w:tc>
          <w:tcPr>
            <w:tcW w:w="15314" w:type="dxa"/>
            <w:gridSpan w:val="7"/>
          </w:tcPr>
          <w:p w14:paraId="2C2A8B86" w14:textId="1D4157B5" w:rsidR="00C43AC4" w:rsidRDefault="00C43AC4" w:rsidP="00861481">
            <w:pPr>
              <w:spacing w:after="0" w:line="240" w:lineRule="auto"/>
              <w:contextualSpacing/>
              <w:rPr>
                <w:rFonts w:eastAsia="Times New Roman"/>
                <w:sz w:val="22"/>
                <w:szCs w:val="22"/>
                <w:lang w:eastAsia="fi-FI"/>
              </w:rPr>
            </w:pPr>
            <w:r w:rsidRPr="58C5AD3C">
              <w:rPr>
                <w:rFonts w:eastAsia="Times New Roman"/>
                <w:b/>
                <w:bCs/>
                <w:sz w:val="22"/>
                <w:szCs w:val="22"/>
                <w:lang w:eastAsia="fi-FI"/>
              </w:rPr>
              <w:t>Merkitys, arvot ja asenteet</w:t>
            </w:r>
          </w:p>
        </w:tc>
      </w:tr>
      <w:tr w:rsidR="00C43AC4" w:rsidRPr="0032374F" w14:paraId="6445DC81" w14:textId="7E8E6BAC" w:rsidTr="006F47E3">
        <w:trPr>
          <w:trHeight w:val="1040"/>
          <w:jc w:val="center"/>
        </w:trPr>
        <w:tc>
          <w:tcPr>
            <w:tcW w:w="3709" w:type="dxa"/>
            <w:tcMar>
              <w:top w:w="100" w:type="dxa"/>
              <w:left w:w="100" w:type="dxa"/>
              <w:bottom w:w="100" w:type="dxa"/>
              <w:right w:w="100" w:type="dxa"/>
            </w:tcMar>
            <w:hideMark/>
          </w:tcPr>
          <w:p w14:paraId="24127D42"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 vahvistaa oppilaan motivaatiota, positiivista minäkuvaa ja itseluottamusta matematiikan oppijana</w:t>
            </w:r>
          </w:p>
        </w:tc>
        <w:tc>
          <w:tcPr>
            <w:tcW w:w="928" w:type="dxa"/>
            <w:tcMar>
              <w:top w:w="100" w:type="dxa"/>
              <w:left w:w="100" w:type="dxa"/>
              <w:bottom w:w="100" w:type="dxa"/>
              <w:right w:w="100" w:type="dxa"/>
            </w:tcMar>
            <w:hideMark/>
          </w:tcPr>
          <w:p w14:paraId="745C14FB"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0B9DD061"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sz w:val="22"/>
                <w:szCs w:val="22"/>
              </w:rPr>
              <w:t>Oppilas oppii tunnistamaan, mitkä asiat ja opiskelutavat motivoivat häntä. Oppilas pyrkii vahvistamaan positiivista minäkuvaansa ja itseluottamusta matematiikan oppijana.</w:t>
            </w:r>
          </w:p>
        </w:tc>
        <w:tc>
          <w:tcPr>
            <w:tcW w:w="2370" w:type="dxa"/>
            <w:tcMar>
              <w:top w:w="100" w:type="dxa"/>
              <w:left w:w="100" w:type="dxa"/>
              <w:bottom w:w="100" w:type="dxa"/>
              <w:right w:w="100" w:type="dxa"/>
            </w:tcMar>
            <w:hideMark/>
          </w:tcPr>
          <w:p w14:paraId="404FE1FE"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w:t>
            </w:r>
          </w:p>
        </w:tc>
        <w:tc>
          <w:tcPr>
            <w:tcW w:w="2375" w:type="dxa"/>
            <w:tcMar>
              <w:top w:w="100" w:type="dxa"/>
              <w:left w:w="100" w:type="dxa"/>
              <w:bottom w:w="100" w:type="dxa"/>
              <w:right w:w="100" w:type="dxa"/>
            </w:tcMar>
            <w:hideMark/>
          </w:tcPr>
          <w:p w14:paraId="539DB56C"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i/>
                <w:iCs/>
                <w:sz w:val="22"/>
                <w:szCs w:val="22"/>
                <w:lang w:eastAsia="fi-FI"/>
              </w:rPr>
              <w:t>Ei vaikuta arvosanan muodostamisen perusteena. Oppilaita ohjataan pohtimaan kokemuksiaan osana itsearviointia.</w:t>
            </w:r>
          </w:p>
        </w:tc>
        <w:tc>
          <w:tcPr>
            <w:tcW w:w="2845" w:type="dxa"/>
          </w:tcPr>
          <w:p w14:paraId="38C5ABE8" w14:textId="77777777" w:rsidR="00C43AC4" w:rsidRPr="0032374F" w:rsidRDefault="00C43AC4" w:rsidP="00861481">
            <w:pPr>
              <w:spacing w:after="0" w:line="240" w:lineRule="auto"/>
              <w:contextualSpacing/>
              <w:rPr>
                <w:rFonts w:eastAsia="Times New Roman" w:cstheme="minorHAnsi"/>
                <w:i/>
                <w:iCs/>
                <w:sz w:val="22"/>
                <w:szCs w:val="22"/>
                <w:lang w:eastAsia="fi-FI"/>
              </w:rPr>
            </w:pPr>
          </w:p>
        </w:tc>
      </w:tr>
      <w:tr w:rsidR="00C43AC4" w:rsidRPr="0032374F" w14:paraId="10A5B9F9" w14:textId="19D5CCA7" w:rsidTr="006F47E3">
        <w:trPr>
          <w:trHeight w:val="1040"/>
          <w:jc w:val="center"/>
        </w:trPr>
        <w:tc>
          <w:tcPr>
            <w:tcW w:w="3709" w:type="dxa"/>
            <w:tcMar>
              <w:top w:w="100" w:type="dxa"/>
              <w:left w:w="100" w:type="dxa"/>
              <w:bottom w:w="100" w:type="dxa"/>
              <w:right w:w="100" w:type="dxa"/>
            </w:tcMar>
            <w:hideMark/>
          </w:tcPr>
          <w:p w14:paraId="67292CC2"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T2 kannustaa oppilasta ottamaan vastuuta matematiikan oppimisesta sekä yksin että yhdessä toimien</w:t>
            </w:r>
          </w:p>
        </w:tc>
        <w:tc>
          <w:tcPr>
            <w:tcW w:w="928" w:type="dxa"/>
            <w:tcMar>
              <w:top w:w="100" w:type="dxa"/>
              <w:left w:w="100" w:type="dxa"/>
              <w:bottom w:w="100" w:type="dxa"/>
              <w:right w:w="100" w:type="dxa"/>
            </w:tcMar>
            <w:hideMark/>
          </w:tcPr>
          <w:p w14:paraId="31A6FDE5"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6E6717D9"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aloittaa työskentelyn, ylläpitää sitä ja arvioi, milloin työskentely on saatu päätökseen. Hän osallistuu omatoimisesti ryhmän toimintaan.</w:t>
            </w:r>
          </w:p>
        </w:tc>
        <w:tc>
          <w:tcPr>
            <w:tcW w:w="2370" w:type="dxa"/>
            <w:tcMar>
              <w:top w:w="100" w:type="dxa"/>
              <w:left w:w="100" w:type="dxa"/>
              <w:bottom w:w="100" w:type="dxa"/>
              <w:right w:w="100" w:type="dxa"/>
            </w:tcMar>
            <w:hideMark/>
          </w:tcPr>
          <w:p w14:paraId="040AE1FD"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Vastuunottaminen opiskelusta</w:t>
            </w:r>
          </w:p>
        </w:tc>
        <w:tc>
          <w:tcPr>
            <w:tcW w:w="2375" w:type="dxa"/>
            <w:tcMar>
              <w:top w:w="100" w:type="dxa"/>
              <w:left w:w="100" w:type="dxa"/>
              <w:bottom w:w="100" w:type="dxa"/>
              <w:right w:w="100" w:type="dxa"/>
            </w:tcMar>
            <w:hideMark/>
          </w:tcPr>
          <w:p w14:paraId="308C47A8"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kykenee ohjattuna aloittamaan työskentelyn ja ylläpitämään sitä.</w:t>
            </w:r>
          </w:p>
        </w:tc>
        <w:tc>
          <w:tcPr>
            <w:tcW w:w="2845" w:type="dxa"/>
          </w:tcPr>
          <w:p w14:paraId="3A18D76B"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5A9B04D7" w14:textId="77777777" w:rsidTr="2DD31F93">
        <w:trPr>
          <w:trHeight w:val="283"/>
          <w:jc w:val="center"/>
        </w:trPr>
        <w:tc>
          <w:tcPr>
            <w:tcW w:w="15314" w:type="dxa"/>
            <w:gridSpan w:val="7"/>
          </w:tcPr>
          <w:p w14:paraId="40DC32F0" w14:textId="5486A5C5" w:rsidR="00C43AC4" w:rsidRDefault="00C43AC4" w:rsidP="00861481">
            <w:pPr>
              <w:spacing w:after="0" w:line="240" w:lineRule="auto"/>
              <w:ind w:left="40"/>
              <w:contextualSpacing/>
              <w:rPr>
                <w:rFonts w:eastAsia="Times New Roman"/>
                <w:sz w:val="22"/>
                <w:szCs w:val="22"/>
                <w:lang w:eastAsia="fi-FI"/>
              </w:rPr>
            </w:pPr>
            <w:r w:rsidRPr="58C5AD3C">
              <w:rPr>
                <w:rFonts w:eastAsia="Times New Roman"/>
                <w:b/>
                <w:bCs/>
                <w:sz w:val="22"/>
                <w:szCs w:val="22"/>
                <w:lang w:eastAsia="fi-FI"/>
              </w:rPr>
              <w:t>Työskentelyn taidot</w:t>
            </w:r>
          </w:p>
        </w:tc>
      </w:tr>
      <w:tr w:rsidR="00C43AC4" w:rsidRPr="0032374F" w14:paraId="6B2C9029" w14:textId="4399A522" w:rsidTr="006F47E3">
        <w:trPr>
          <w:trHeight w:val="599"/>
          <w:jc w:val="center"/>
        </w:trPr>
        <w:tc>
          <w:tcPr>
            <w:tcW w:w="3709" w:type="dxa"/>
            <w:tcMar>
              <w:top w:w="100" w:type="dxa"/>
              <w:left w:w="100" w:type="dxa"/>
              <w:bottom w:w="100" w:type="dxa"/>
              <w:right w:w="100" w:type="dxa"/>
            </w:tcMar>
            <w:hideMark/>
          </w:tcPr>
          <w:p w14:paraId="08159C47"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T3 ohjata oppilasta havaitsemaan ja ymmärtämään oppimiensa asioiden välisiä yhteyksiä</w:t>
            </w:r>
          </w:p>
        </w:tc>
        <w:tc>
          <w:tcPr>
            <w:tcW w:w="928" w:type="dxa"/>
            <w:tcMar>
              <w:top w:w="100" w:type="dxa"/>
              <w:left w:w="100" w:type="dxa"/>
              <w:bottom w:w="100" w:type="dxa"/>
              <w:right w:w="100" w:type="dxa"/>
            </w:tcMar>
            <w:hideMark/>
          </w:tcPr>
          <w:p w14:paraId="4019000C"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1A23A54D"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havaitsee ja ymmärtää oppimiensa asioiden välisiä yhteyksiä. Hän osaa kuvailla, selittää ja soveltaa ymmärtämäänsä.</w:t>
            </w:r>
          </w:p>
        </w:tc>
        <w:tc>
          <w:tcPr>
            <w:tcW w:w="2370" w:type="dxa"/>
            <w:tcMar>
              <w:top w:w="100" w:type="dxa"/>
              <w:left w:w="100" w:type="dxa"/>
              <w:bottom w:w="100" w:type="dxa"/>
              <w:right w:w="100" w:type="dxa"/>
            </w:tcMar>
            <w:hideMark/>
          </w:tcPr>
          <w:p w14:paraId="648945C0"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Opittujen asioiden yhteydet</w:t>
            </w:r>
          </w:p>
        </w:tc>
        <w:tc>
          <w:tcPr>
            <w:tcW w:w="2375" w:type="dxa"/>
            <w:tcMar>
              <w:top w:w="100" w:type="dxa"/>
              <w:left w:w="100" w:type="dxa"/>
              <w:bottom w:w="100" w:type="dxa"/>
              <w:right w:w="100" w:type="dxa"/>
            </w:tcMar>
            <w:hideMark/>
          </w:tcPr>
          <w:p w14:paraId="0145BB3C"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havaitsee ohjattuna opittavien asioiden välisiä yhteyksiä.</w:t>
            </w:r>
          </w:p>
        </w:tc>
        <w:tc>
          <w:tcPr>
            <w:tcW w:w="2845" w:type="dxa"/>
          </w:tcPr>
          <w:p w14:paraId="7860EC54"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16BA9412" w14:textId="01512C4C" w:rsidTr="006F47E3">
        <w:trPr>
          <w:trHeight w:val="1040"/>
          <w:jc w:val="center"/>
        </w:trPr>
        <w:tc>
          <w:tcPr>
            <w:tcW w:w="3709" w:type="dxa"/>
            <w:tcMar>
              <w:top w:w="100" w:type="dxa"/>
              <w:left w:w="100" w:type="dxa"/>
              <w:bottom w:w="100" w:type="dxa"/>
              <w:right w:w="100" w:type="dxa"/>
            </w:tcMar>
            <w:hideMark/>
          </w:tcPr>
          <w:p w14:paraId="27A36AE9"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T4 kannustaa oppilasta harjaantumaan täsmälliseen matemaattiseen ilmaisuun suullisesti ja kirjallisesti</w:t>
            </w:r>
          </w:p>
        </w:tc>
        <w:tc>
          <w:tcPr>
            <w:tcW w:w="928" w:type="dxa"/>
            <w:tcMar>
              <w:top w:w="100" w:type="dxa"/>
              <w:left w:w="100" w:type="dxa"/>
              <w:bottom w:w="100" w:type="dxa"/>
              <w:right w:w="100" w:type="dxa"/>
            </w:tcMar>
            <w:hideMark/>
          </w:tcPr>
          <w:p w14:paraId="43492EF5"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699B3D53"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ilmaisee matemaattista ajatteluaan täsmällisesti eri ilmaisukeinoja käyttäen.</w:t>
            </w:r>
          </w:p>
        </w:tc>
        <w:tc>
          <w:tcPr>
            <w:tcW w:w="2370" w:type="dxa"/>
            <w:tcMar>
              <w:top w:w="100" w:type="dxa"/>
              <w:left w:w="100" w:type="dxa"/>
              <w:bottom w:w="100" w:type="dxa"/>
              <w:right w:w="100" w:type="dxa"/>
            </w:tcMar>
            <w:hideMark/>
          </w:tcPr>
          <w:p w14:paraId="038C8E92"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Matemaattinen ilmaisu</w:t>
            </w:r>
          </w:p>
        </w:tc>
        <w:tc>
          <w:tcPr>
            <w:tcW w:w="2375" w:type="dxa"/>
            <w:tcMar>
              <w:top w:w="100" w:type="dxa"/>
              <w:left w:w="100" w:type="dxa"/>
              <w:bottom w:w="100" w:type="dxa"/>
              <w:right w:w="100" w:type="dxa"/>
            </w:tcMar>
            <w:hideMark/>
          </w:tcPr>
          <w:p w14:paraId="42461C5B" w14:textId="77777777" w:rsidR="00C43AC4" w:rsidRPr="0032374F" w:rsidRDefault="00C43AC4" w:rsidP="00861481">
            <w:pPr>
              <w:pStyle w:val="NormaaliWWW"/>
              <w:spacing w:before="0" w:beforeAutospacing="0" w:after="0" w:afterAutospacing="0"/>
              <w:contextualSpacing/>
              <w:rPr>
                <w:rFonts w:asciiTheme="minorHAnsi" w:hAnsiTheme="minorHAnsi" w:cstheme="minorHAnsi"/>
                <w:sz w:val="22"/>
                <w:szCs w:val="22"/>
              </w:rPr>
            </w:pPr>
            <w:r w:rsidRPr="0032374F">
              <w:rPr>
                <w:rFonts w:asciiTheme="minorHAnsi" w:hAnsiTheme="minorHAnsi" w:cstheme="minorHAnsi"/>
                <w:sz w:val="22"/>
                <w:szCs w:val="22"/>
              </w:rPr>
              <w:t>Oppilas ilmaisee ohjattuna matemaattista ajatteluaan jollakin tavalla.</w:t>
            </w:r>
          </w:p>
        </w:tc>
        <w:tc>
          <w:tcPr>
            <w:tcW w:w="2845" w:type="dxa"/>
          </w:tcPr>
          <w:p w14:paraId="221D23B9" w14:textId="77777777" w:rsidR="00C43AC4" w:rsidRPr="0032374F" w:rsidRDefault="00C43AC4" w:rsidP="00861481">
            <w:pPr>
              <w:pStyle w:val="NormaaliWWW"/>
              <w:spacing w:before="0" w:beforeAutospacing="0" w:after="0" w:afterAutospacing="0"/>
              <w:contextualSpacing/>
              <w:rPr>
                <w:rFonts w:asciiTheme="minorHAnsi" w:hAnsiTheme="minorHAnsi" w:cstheme="minorHAnsi"/>
                <w:sz w:val="22"/>
                <w:szCs w:val="22"/>
              </w:rPr>
            </w:pPr>
          </w:p>
        </w:tc>
      </w:tr>
      <w:tr w:rsidR="00C43AC4" w:rsidRPr="0032374F" w14:paraId="6C3DBBC4" w14:textId="58B0943B" w:rsidTr="006F47E3">
        <w:trPr>
          <w:trHeight w:val="1040"/>
          <w:jc w:val="center"/>
        </w:trPr>
        <w:tc>
          <w:tcPr>
            <w:tcW w:w="3709" w:type="dxa"/>
            <w:tcMar>
              <w:top w:w="100" w:type="dxa"/>
              <w:left w:w="100" w:type="dxa"/>
              <w:bottom w:w="100" w:type="dxa"/>
              <w:right w:w="100" w:type="dxa"/>
            </w:tcMar>
            <w:hideMark/>
          </w:tcPr>
          <w:p w14:paraId="0ECF352F"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 xml:space="preserve">T5 tukea oppilasta loogista ja luovaa ajattelua vaativien matemaattisten </w:t>
            </w:r>
            <w:r w:rsidRPr="0032374F">
              <w:rPr>
                <w:rFonts w:eastAsia="Times New Roman" w:cstheme="minorHAnsi"/>
                <w:sz w:val="22"/>
                <w:szCs w:val="22"/>
                <w:lang w:eastAsia="fi-FI"/>
              </w:rPr>
              <w:lastRenderedPageBreak/>
              <w:t>tehtävien ratkaisemisessa ja siinä tarvittavien taitojen kehittymisessä</w:t>
            </w:r>
          </w:p>
        </w:tc>
        <w:tc>
          <w:tcPr>
            <w:tcW w:w="928" w:type="dxa"/>
            <w:tcMar>
              <w:top w:w="100" w:type="dxa"/>
              <w:left w:w="100" w:type="dxa"/>
              <w:bottom w:w="100" w:type="dxa"/>
              <w:right w:w="100" w:type="dxa"/>
            </w:tcMar>
            <w:hideMark/>
          </w:tcPr>
          <w:p w14:paraId="3E37F9DB"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lastRenderedPageBreak/>
              <w:t>S1–S6</w:t>
            </w:r>
          </w:p>
        </w:tc>
        <w:tc>
          <w:tcPr>
            <w:tcW w:w="3087" w:type="dxa"/>
            <w:gridSpan w:val="2"/>
            <w:tcMar>
              <w:top w:w="100" w:type="dxa"/>
              <w:left w:w="100" w:type="dxa"/>
              <w:bottom w:w="100" w:type="dxa"/>
              <w:right w:w="100" w:type="dxa"/>
            </w:tcMar>
            <w:hideMark/>
          </w:tcPr>
          <w:p w14:paraId="04791FBA"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jäsentää ongelmia, tunnistaa niistä matemaattista informaatiota ja ratkaisee niitä </w:t>
            </w:r>
            <w:r w:rsidRPr="0032374F">
              <w:rPr>
                <w:rFonts w:eastAsia="Times New Roman" w:cstheme="minorHAnsi"/>
                <w:sz w:val="22"/>
                <w:szCs w:val="22"/>
                <w:lang w:eastAsia="fi-FI"/>
              </w:rPr>
              <w:lastRenderedPageBreak/>
              <w:t>hyödyntäen matematiikan menetelmiä.</w:t>
            </w:r>
          </w:p>
        </w:tc>
        <w:tc>
          <w:tcPr>
            <w:tcW w:w="2370" w:type="dxa"/>
            <w:tcMar>
              <w:top w:w="100" w:type="dxa"/>
              <w:left w:w="100" w:type="dxa"/>
              <w:bottom w:w="100" w:type="dxa"/>
              <w:right w:w="100" w:type="dxa"/>
            </w:tcMar>
            <w:hideMark/>
          </w:tcPr>
          <w:p w14:paraId="35C2DBE4"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lastRenderedPageBreak/>
              <w:t>Ongelmanratkaisutaidot</w:t>
            </w:r>
          </w:p>
        </w:tc>
        <w:tc>
          <w:tcPr>
            <w:tcW w:w="2375" w:type="dxa"/>
            <w:tcMar>
              <w:top w:w="100" w:type="dxa"/>
              <w:left w:w="100" w:type="dxa"/>
              <w:bottom w:w="100" w:type="dxa"/>
              <w:right w:w="100" w:type="dxa"/>
            </w:tcMar>
            <w:hideMark/>
          </w:tcPr>
          <w:p w14:paraId="0F7A91F2"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jäsentää ohjattuna ongelmia ja </w:t>
            </w:r>
            <w:r w:rsidRPr="0032374F">
              <w:rPr>
                <w:rFonts w:eastAsia="Times New Roman" w:cstheme="minorHAnsi"/>
                <w:sz w:val="22"/>
                <w:szCs w:val="22"/>
                <w:lang w:eastAsia="fi-FI"/>
              </w:rPr>
              <w:lastRenderedPageBreak/>
              <w:t>ratkaisee osia ongelmasta. </w:t>
            </w:r>
          </w:p>
        </w:tc>
        <w:tc>
          <w:tcPr>
            <w:tcW w:w="2845" w:type="dxa"/>
          </w:tcPr>
          <w:p w14:paraId="09336FBB" w14:textId="77777777" w:rsidR="00C43AC4" w:rsidRPr="0032374F" w:rsidRDefault="00C43AC4" w:rsidP="00861481">
            <w:pPr>
              <w:spacing w:after="200" w:line="240" w:lineRule="auto"/>
              <w:contextualSpacing/>
              <w:rPr>
                <w:rFonts w:eastAsia="Times New Roman" w:cstheme="minorHAnsi"/>
                <w:sz w:val="22"/>
                <w:szCs w:val="22"/>
                <w:lang w:eastAsia="fi-FI"/>
              </w:rPr>
            </w:pPr>
          </w:p>
        </w:tc>
      </w:tr>
      <w:tr w:rsidR="00C43AC4" w:rsidRPr="0032374F" w14:paraId="79E934F0" w14:textId="347006F7" w:rsidTr="006F47E3">
        <w:trPr>
          <w:trHeight w:val="741"/>
          <w:jc w:val="center"/>
        </w:trPr>
        <w:tc>
          <w:tcPr>
            <w:tcW w:w="3709" w:type="dxa"/>
            <w:tcMar>
              <w:top w:w="100" w:type="dxa"/>
              <w:left w:w="100" w:type="dxa"/>
              <w:bottom w:w="100" w:type="dxa"/>
              <w:right w:w="100" w:type="dxa"/>
            </w:tcMar>
            <w:hideMark/>
          </w:tcPr>
          <w:p w14:paraId="175939A7"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T6 ohjata oppilasta arvioimaan ja kehittämään matemaattisia ratkaisujaan sekä tarkastelemaan kriittisesti tuloksen mielekkyyttä</w:t>
            </w:r>
          </w:p>
        </w:tc>
        <w:tc>
          <w:tcPr>
            <w:tcW w:w="928" w:type="dxa"/>
            <w:tcMar>
              <w:top w:w="100" w:type="dxa"/>
              <w:left w:w="100" w:type="dxa"/>
              <w:bottom w:w="100" w:type="dxa"/>
              <w:right w:w="100" w:type="dxa"/>
            </w:tcMar>
            <w:hideMark/>
          </w:tcPr>
          <w:p w14:paraId="5505816D"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4F43108F"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arvioi ja kehittää matemaattista ratkaisuaan ja tarkastelee kriittisesti tuloksen mielekkyyttä.</w:t>
            </w:r>
          </w:p>
        </w:tc>
        <w:tc>
          <w:tcPr>
            <w:tcW w:w="2370" w:type="dxa"/>
            <w:tcMar>
              <w:top w:w="100" w:type="dxa"/>
              <w:left w:w="100" w:type="dxa"/>
              <w:bottom w:w="100" w:type="dxa"/>
              <w:right w:w="100" w:type="dxa"/>
            </w:tcMar>
            <w:hideMark/>
          </w:tcPr>
          <w:p w14:paraId="5ADF0F3F"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Taito arvioida ja kehittää matemaattisia ratkaisuja</w:t>
            </w:r>
          </w:p>
        </w:tc>
        <w:tc>
          <w:tcPr>
            <w:tcW w:w="2375" w:type="dxa"/>
            <w:tcMar>
              <w:top w:w="100" w:type="dxa"/>
              <w:left w:w="100" w:type="dxa"/>
              <w:bottom w:w="100" w:type="dxa"/>
              <w:right w:w="100" w:type="dxa"/>
            </w:tcMar>
            <w:hideMark/>
          </w:tcPr>
          <w:p w14:paraId="3A58C0CC"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selittää ohjattuna tuottamansa ratkaisun ja pohtii ohjattuna tuloksen mielekkyyttä.</w:t>
            </w:r>
          </w:p>
        </w:tc>
        <w:tc>
          <w:tcPr>
            <w:tcW w:w="2845" w:type="dxa"/>
          </w:tcPr>
          <w:p w14:paraId="48C7F58A"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6C3FEA92" w14:textId="22D169D7" w:rsidTr="006F47E3">
        <w:trPr>
          <w:trHeight w:val="599"/>
          <w:jc w:val="center"/>
        </w:trPr>
        <w:tc>
          <w:tcPr>
            <w:tcW w:w="3709" w:type="dxa"/>
            <w:tcMar>
              <w:top w:w="100" w:type="dxa"/>
              <w:left w:w="100" w:type="dxa"/>
              <w:bottom w:w="100" w:type="dxa"/>
              <w:right w:w="100" w:type="dxa"/>
            </w:tcMar>
            <w:hideMark/>
          </w:tcPr>
          <w:p w14:paraId="02A0CB6F"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T7 rohkaista oppilasta soveltamaan matematiikkaa muissakin oppiaineissa ja ympäröivässä yhteiskunnassa</w:t>
            </w:r>
          </w:p>
        </w:tc>
        <w:tc>
          <w:tcPr>
            <w:tcW w:w="928" w:type="dxa"/>
            <w:tcMar>
              <w:top w:w="100" w:type="dxa"/>
              <w:left w:w="100" w:type="dxa"/>
              <w:bottom w:w="100" w:type="dxa"/>
              <w:right w:w="100" w:type="dxa"/>
            </w:tcMar>
            <w:hideMark/>
          </w:tcPr>
          <w:p w14:paraId="6DA918B2"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0B25476D"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tunnistaa ja käyttää matematiikkaa eri ympäristöissä ja toisissa oppiaineissa sekä muotoilee ongelmia matematiikan kielelle.</w:t>
            </w:r>
          </w:p>
        </w:tc>
        <w:tc>
          <w:tcPr>
            <w:tcW w:w="2370" w:type="dxa"/>
            <w:tcMar>
              <w:top w:w="100" w:type="dxa"/>
              <w:left w:w="100" w:type="dxa"/>
              <w:bottom w:w="100" w:type="dxa"/>
              <w:right w:w="100" w:type="dxa"/>
            </w:tcMar>
            <w:hideMark/>
          </w:tcPr>
          <w:p w14:paraId="3031D439"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Matematiikan soveltaminen</w:t>
            </w:r>
          </w:p>
        </w:tc>
        <w:tc>
          <w:tcPr>
            <w:tcW w:w="2375" w:type="dxa"/>
            <w:tcMar>
              <w:top w:w="100" w:type="dxa"/>
              <w:left w:w="100" w:type="dxa"/>
              <w:bottom w:w="100" w:type="dxa"/>
              <w:right w:w="100" w:type="dxa"/>
            </w:tcMar>
            <w:hideMark/>
          </w:tcPr>
          <w:p w14:paraId="02A76E52"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tunnistaa matematiikan käyttömahdollisuudet ympärillään ja tietää ongelman matemaattisen muotoilun tarpeellisuuden.</w:t>
            </w:r>
          </w:p>
        </w:tc>
        <w:tc>
          <w:tcPr>
            <w:tcW w:w="2845" w:type="dxa"/>
          </w:tcPr>
          <w:p w14:paraId="56D62869"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7D7565D2" w14:textId="435B9393" w:rsidTr="006F47E3">
        <w:trPr>
          <w:trHeight w:val="1040"/>
          <w:jc w:val="center"/>
        </w:trPr>
        <w:tc>
          <w:tcPr>
            <w:tcW w:w="3709" w:type="dxa"/>
            <w:tcMar>
              <w:top w:w="100" w:type="dxa"/>
              <w:left w:w="100" w:type="dxa"/>
              <w:bottom w:w="100" w:type="dxa"/>
              <w:right w:w="100" w:type="dxa"/>
            </w:tcMar>
            <w:hideMark/>
          </w:tcPr>
          <w:p w14:paraId="6B16D860"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T8 ohjata oppilasta kehittämään tiedonhallinta- ja analysointitaitojaan sekä opastaa tiedon kriittiseen tarkasteluun</w:t>
            </w:r>
          </w:p>
        </w:tc>
        <w:tc>
          <w:tcPr>
            <w:tcW w:w="928" w:type="dxa"/>
            <w:tcMar>
              <w:top w:w="100" w:type="dxa"/>
              <w:left w:w="100" w:type="dxa"/>
              <w:bottom w:w="100" w:type="dxa"/>
              <w:right w:w="100" w:type="dxa"/>
            </w:tcMar>
            <w:hideMark/>
          </w:tcPr>
          <w:p w14:paraId="6677DD06"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 S4, S6</w:t>
            </w:r>
          </w:p>
        </w:tc>
        <w:tc>
          <w:tcPr>
            <w:tcW w:w="3087" w:type="dxa"/>
            <w:gridSpan w:val="2"/>
            <w:tcMar>
              <w:top w:w="100" w:type="dxa"/>
              <w:left w:w="100" w:type="dxa"/>
              <w:bottom w:w="100" w:type="dxa"/>
              <w:right w:w="100" w:type="dxa"/>
            </w:tcMar>
            <w:hideMark/>
          </w:tcPr>
          <w:p w14:paraId="1F671CA7"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hankkii ja analysoi tietoa ja pohtii sen todenperäisyyttä ja merkitsevyyttä.</w:t>
            </w:r>
          </w:p>
        </w:tc>
        <w:tc>
          <w:tcPr>
            <w:tcW w:w="2370" w:type="dxa"/>
            <w:tcMar>
              <w:top w:w="100" w:type="dxa"/>
              <w:left w:w="100" w:type="dxa"/>
              <w:bottom w:w="100" w:type="dxa"/>
              <w:right w:w="100" w:type="dxa"/>
            </w:tcMar>
            <w:hideMark/>
          </w:tcPr>
          <w:p w14:paraId="51C2F49B"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Tiedon analysointi ja kriittinen tarkastelu</w:t>
            </w:r>
          </w:p>
        </w:tc>
        <w:tc>
          <w:tcPr>
            <w:tcW w:w="2375" w:type="dxa"/>
            <w:tcMar>
              <w:top w:w="100" w:type="dxa"/>
              <w:left w:w="100" w:type="dxa"/>
              <w:bottom w:w="100" w:type="dxa"/>
              <w:right w:w="100" w:type="dxa"/>
            </w:tcMar>
            <w:hideMark/>
          </w:tcPr>
          <w:p w14:paraId="3F2EB227"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osaa vertailla ohjattuna tietoa matemaattisella perusteella.</w:t>
            </w:r>
          </w:p>
        </w:tc>
        <w:tc>
          <w:tcPr>
            <w:tcW w:w="2845" w:type="dxa"/>
          </w:tcPr>
          <w:p w14:paraId="2B3940AD"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2E53D00C" w14:textId="14BA7056" w:rsidTr="006F47E3">
        <w:trPr>
          <w:trHeight w:val="1040"/>
          <w:jc w:val="center"/>
        </w:trPr>
        <w:tc>
          <w:tcPr>
            <w:tcW w:w="3709" w:type="dxa"/>
            <w:tcMar>
              <w:top w:w="100" w:type="dxa"/>
              <w:left w:w="100" w:type="dxa"/>
              <w:bottom w:w="100" w:type="dxa"/>
              <w:right w:w="100" w:type="dxa"/>
            </w:tcMar>
            <w:hideMark/>
          </w:tcPr>
          <w:p w14:paraId="1BD01976"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T9 opastaa oppilasta soveltamaan tieto- ja viestintäteknologiaa matematiikan opiskelussa sekä ongelmien ratkaisemisessa</w:t>
            </w:r>
          </w:p>
        </w:tc>
        <w:tc>
          <w:tcPr>
            <w:tcW w:w="928" w:type="dxa"/>
            <w:tcMar>
              <w:top w:w="100" w:type="dxa"/>
              <w:left w:w="100" w:type="dxa"/>
              <w:bottom w:w="100" w:type="dxa"/>
              <w:right w:w="100" w:type="dxa"/>
            </w:tcMar>
            <w:hideMark/>
          </w:tcPr>
          <w:p w14:paraId="196D7433"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S1–S6</w:t>
            </w:r>
          </w:p>
        </w:tc>
        <w:tc>
          <w:tcPr>
            <w:tcW w:w="3087" w:type="dxa"/>
            <w:gridSpan w:val="2"/>
            <w:tcMar>
              <w:top w:w="100" w:type="dxa"/>
              <w:left w:w="100" w:type="dxa"/>
              <w:bottom w:w="100" w:type="dxa"/>
              <w:right w:w="100" w:type="dxa"/>
            </w:tcMar>
            <w:hideMark/>
          </w:tcPr>
          <w:p w14:paraId="170F8213"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soveltaa tarkoituksenmukaista teknologiaa matematiikan opiskelussa ja ongelmia ratkaistaessa. </w:t>
            </w:r>
          </w:p>
        </w:tc>
        <w:tc>
          <w:tcPr>
            <w:tcW w:w="2370" w:type="dxa"/>
            <w:tcMar>
              <w:top w:w="100" w:type="dxa"/>
              <w:left w:w="100" w:type="dxa"/>
              <w:bottom w:w="100" w:type="dxa"/>
              <w:right w:w="100" w:type="dxa"/>
            </w:tcMar>
            <w:hideMark/>
          </w:tcPr>
          <w:p w14:paraId="48FDD98F"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Tieto- ja viestintäteknologian käyttö</w:t>
            </w:r>
          </w:p>
        </w:tc>
        <w:tc>
          <w:tcPr>
            <w:tcW w:w="2375" w:type="dxa"/>
            <w:tcMar>
              <w:top w:w="100" w:type="dxa"/>
              <w:left w:w="100" w:type="dxa"/>
              <w:bottom w:w="100" w:type="dxa"/>
              <w:right w:w="100" w:type="dxa"/>
            </w:tcMar>
            <w:hideMark/>
          </w:tcPr>
          <w:p w14:paraId="4D9027CD"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tutustuu matematiikan oppimista tukevaan ohjelmistoon ja käyttää sitä ohjatusti.</w:t>
            </w:r>
          </w:p>
        </w:tc>
        <w:tc>
          <w:tcPr>
            <w:tcW w:w="2845" w:type="dxa"/>
          </w:tcPr>
          <w:p w14:paraId="4F74430C"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07CBA95B" w14:textId="77777777" w:rsidTr="2DD31F93">
        <w:trPr>
          <w:trHeight w:val="283"/>
          <w:jc w:val="center"/>
        </w:trPr>
        <w:tc>
          <w:tcPr>
            <w:tcW w:w="15314" w:type="dxa"/>
            <w:gridSpan w:val="7"/>
          </w:tcPr>
          <w:p w14:paraId="60611767" w14:textId="02BF0343" w:rsidR="00C43AC4" w:rsidRDefault="00C43AC4" w:rsidP="00861481">
            <w:pPr>
              <w:spacing w:after="0" w:line="240" w:lineRule="auto"/>
              <w:ind w:left="40"/>
              <w:contextualSpacing/>
              <w:rPr>
                <w:rFonts w:eastAsia="Times New Roman"/>
                <w:sz w:val="22"/>
                <w:szCs w:val="22"/>
                <w:lang w:eastAsia="fi-FI"/>
              </w:rPr>
            </w:pPr>
            <w:r w:rsidRPr="58C5AD3C">
              <w:rPr>
                <w:rFonts w:eastAsia="Times New Roman"/>
                <w:b/>
                <w:bCs/>
                <w:sz w:val="22"/>
                <w:szCs w:val="22"/>
                <w:lang w:eastAsia="fi-FI"/>
              </w:rPr>
              <w:t>Käsitteelliset ja tiedonalakohtaiset tavoitteet</w:t>
            </w:r>
            <w:r w:rsidRPr="58C5AD3C">
              <w:rPr>
                <w:rFonts w:eastAsia="Times New Roman"/>
                <w:sz w:val="22"/>
                <w:szCs w:val="22"/>
                <w:lang w:eastAsia="fi-FI"/>
              </w:rPr>
              <w:t> </w:t>
            </w:r>
          </w:p>
        </w:tc>
      </w:tr>
      <w:tr w:rsidR="00C43AC4" w:rsidRPr="0032374F" w14:paraId="03FB9D12" w14:textId="39BF2191" w:rsidTr="006F47E3">
        <w:trPr>
          <w:trHeight w:val="457"/>
          <w:jc w:val="center"/>
        </w:trPr>
        <w:tc>
          <w:tcPr>
            <w:tcW w:w="3709" w:type="dxa"/>
            <w:tcMar>
              <w:top w:w="100" w:type="dxa"/>
              <w:left w:w="100" w:type="dxa"/>
              <w:bottom w:w="100" w:type="dxa"/>
              <w:right w:w="100" w:type="dxa"/>
            </w:tcMar>
            <w:hideMark/>
          </w:tcPr>
          <w:p w14:paraId="2B2CC0DB"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T10 ohjata oppilasta vahvistamaan päättely- ja päässälaskutaitoa sekä kannustaa oppilasta käyttämään laskutaitoaan eri tilanteissa</w:t>
            </w:r>
          </w:p>
        </w:tc>
        <w:tc>
          <w:tcPr>
            <w:tcW w:w="928" w:type="dxa"/>
            <w:tcMar>
              <w:top w:w="100" w:type="dxa"/>
              <w:left w:w="100" w:type="dxa"/>
              <w:bottom w:w="100" w:type="dxa"/>
              <w:right w:w="100" w:type="dxa"/>
            </w:tcMar>
            <w:hideMark/>
          </w:tcPr>
          <w:p w14:paraId="6EEF5F42"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 S2</w:t>
            </w:r>
          </w:p>
        </w:tc>
        <w:tc>
          <w:tcPr>
            <w:tcW w:w="3087" w:type="dxa"/>
            <w:gridSpan w:val="2"/>
            <w:tcMar>
              <w:top w:w="100" w:type="dxa"/>
              <w:left w:w="100" w:type="dxa"/>
              <w:bottom w:w="100" w:type="dxa"/>
              <w:right w:w="100" w:type="dxa"/>
            </w:tcMar>
            <w:hideMark/>
          </w:tcPr>
          <w:p w14:paraId="70264EAD"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tekee päätelmiä ja laskelmia arjen toimintojensa tueksi. Hän rohkaistuu </w:t>
            </w:r>
            <w:r w:rsidRPr="0032374F">
              <w:rPr>
                <w:rFonts w:eastAsia="Times New Roman" w:cstheme="minorHAnsi"/>
                <w:sz w:val="22"/>
                <w:szCs w:val="22"/>
                <w:lang w:eastAsia="fi-FI"/>
              </w:rPr>
              <w:lastRenderedPageBreak/>
              <w:t>käyttämään päässälaskutaitoaan.</w:t>
            </w:r>
          </w:p>
        </w:tc>
        <w:tc>
          <w:tcPr>
            <w:tcW w:w="2370" w:type="dxa"/>
            <w:tcMar>
              <w:top w:w="100" w:type="dxa"/>
              <w:left w:w="100" w:type="dxa"/>
              <w:bottom w:w="100" w:type="dxa"/>
              <w:right w:w="100" w:type="dxa"/>
            </w:tcMar>
            <w:hideMark/>
          </w:tcPr>
          <w:p w14:paraId="08A52BAD"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lastRenderedPageBreak/>
              <w:t>Päättely- ja laskutaito</w:t>
            </w:r>
          </w:p>
        </w:tc>
        <w:tc>
          <w:tcPr>
            <w:tcW w:w="2375" w:type="dxa"/>
            <w:tcMar>
              <w:top w:w="100" w:type="dxa"/>
              <w:left w:w="100" w:type="dxa"/>
              <w:bottom w:w="100" w:type="dxa"/>
              <w:right w:w="100" w:type="dxa"/>
            </w:tcMar>
            <w:hideMark/>
          </w:tcPr>
          <w:p w14:paraId="438943D2"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laskee päässään lyhyitä laskutoimituksia ja löytää ohjattuna </w:t>
            </w:r>
            <w:r w:rsidRPr="0032374F">
              <w:rPr>
                <w:rFonts w:eastAsia="Times New Roman" w:cstheme="minorHAnsi"/>
                <w:sz w:val="22"/>
                <w:szCs w:val="22"/>
                <w:lang w:eastAsia="fi-FI"/>
              </w:rPr>
              <w:lastRenderedPageBreak/>
              <w:t>matemaattisia säännönmukaisuuksia.</w:t>
            </w:r>
          </w:p>
        </w:tc>
        <w:tc>
          <w:tcPr>
            <w:tcW w:w="2845" w:type="dxa"/>
          </w:tcPr>
          <w:p w14:paraId="74777E7B" w14:textId="6B4D0DC4" w:rsidR="00C43AC4" w:rsidRPr="0032374F" w:rsidRDefault="00251D81" w:rsidP="00861481">
            <w:pPr>
              <w:spacing w:after="0" w:line="240" w:lineRule="auto"/>
              <w:contextualSpacing/>
              <w:rPr>
                <w:rFonts w:eastAsia="Times New Roman" w:cstheme="minorHAnsi"/>
                <w:sz w:val="22"/>
                <w:szCs w:val="22"/>
                <w:lang w:eastAsia="fi-FI"/>
              </w:rPr>
            </w:pPr>
            <w:r>
              <w:rPr>
                <w:rFonts w:eastAsia="Times New Roman" w:cstheme="minorHAnsi"/>
                <w:sz w:val="22"/>
                <w:szCs w:val="22"/>
                <w:lang w:eastAsia="fi-FI"/>
              </w:rPr>
              <w:lastRenderedPageBreak/>
              <w:t xml:space="preserve">Tavoite arvioidaan viimeistä </w:t>
            </w:r>
            <w:r w:rsidR="000E314F">
              <w:rPr>
                <w:rFonts w:eastAsia="Times New Roman" w:cstheme="minorHAnsi"/>
                <w:sz w:val="22"/>
                <w:szCs w:val="22"/>
                <w:lang w:eastAsia="fi-FI"/>
              </w:rPr>
              <w:t xml:space="preserve">kertaa kahdeksannella vuosiluokalla. </w:t>
            </w:r>
          </w:p>
        </w:tc>
      </w:tr>
      <w:tr w:rsidR="00C43AC4" w:rsidRPr="0032374F" w14:paraId="04D05788" w14:textId="3A1946C4" w:rsidTr="006F47E3">
        <w:trPr>
          <w:trHeight w:val="624"/>
          <w:jc w:val="center"/>
        </w:trPr>
        <w:tc>
          <w:tcPr>
            <w:tcW w:w="3709" w:type="dxa"/>
            <w:tcMar>
              <w:top w:w="100" w:type="dxa"/>
              <w:left w:w="100" w:type="dxa"/>
              <w:bottom w:w="100" w:type="dxa"/>
              <w:right w:w="100" w:type="dxa"/>
            </w:tcMar>
            <w:hideMark/>
          </w:tcPr>
          <w:p w14:paraId="755AE965"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T12 tukea oppilasta laajentamaan lukukäsitteen ymmärtämistä reaalilukuihin</w:t>
            </w:r>
          </w:p>
        </w:tc>
        <w:tc>
          <w:tcPr>
            <w:tcW w:w="928" w:type="dxa"/>
            <w:tcMar>
              <w:top w:w="100" w:type="dxa"/>
              <w:left w:w="100" w:type="dxa"/>
              <w:bottom w:w="100" w:type="dxa"/>
              <w:right w:w="100" w:type="dxa"/>
            </w:tcMar>
            <w:hideMark/>
          </w:tcPr>
          <w:p w14:paraId="3BB8C220"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S2</w:t>
            </w:r>
          </w:p>
        </w:tc>
        <w:tc>
          <w:tcPr>
            <w:tcW w:w="3087" w:type="dxa"/>
            <w:gridSpan w:val="2"/>
            <w:tcMar>
              <w:top w:w="100" w:type="dxa"/>
              <w:left w:w="100" w:type="dxa"/>
              <w:bottom w:w="100" w:type="dxa"/>
              <w:right w:w="100" w:type="dxa"/>
            </w:tcMar>
            <w:hideMark/>
          </w:tcPr>
          <w:p w14:paraId="39FC17F9"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ymmärtää reaalilukujen algebrallisia, järjestys- ja tarkkuusominaisuuksia sekä tutustuu piihin ja neliöjuureen.</w:t>
            </w:r>
          </w:p>
        </w:tc>
        <w:tc>
          <w:tcPr>
            <w:tcW w:w="2370" w:type="dxa"/>
            <w:tcMar>
              <w:top w:w="100" w:type="dxa"/>
              <w:left w:w="100" w:type="dxa"/>
              <w:bottom w:w="100" w:type="dxa"/>
              <w:right w:w="100" w:type="dxa"/>
            </w:tcMar>
            <w:hideMark/>
          </w:tcPr>
          <w:p w14:paraId="173076D6"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Lukukäsite</w:t>
            </w:r>
          </w:p>
        </w:tc>
        <w:tc>
          <w:tcPr>
            <w:tcW w:w="2375" w:type="dxa"/>
            <w:tcMar>
              <w:top w:w="100" w:type="dxa"/>
              <w:left w:w="100" w:type="dxa"/>
              <w:bottom w:w="100" w:type="dxa"/>
              <w:right w:w="100" w:type="dxa"/>
            </w:tcMar>
            <w:hideMark/>
          </w:tcPr>
          <w:p w14:paraId="394BBF3E"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sijoittaa annetun desimaaliluvun lukusuoralle. </w:t>
            </w:r>
          </w:p>
          <w:p w14:paraId="29F47CA6" w14:textId="77777777" w:rsidR="00C43AC4" w:rsidRPr="0032374F" w:rsidRDefault="00C43AC4" w:rsidP="00861481">
            <w:pPr>
              <w:spacing w:after="0" w:line="240" w:lineRule="auto"/>
              <w:contextualSpacing/>
              <w:rPr>
                <w:rFonts w:eastAsia="Times New Roman" w:cstheme="minorHAnsi"/>
                <w:sz w:val="22"/>
                <w:szCs w:val="22"/>
                <w:lang w:eastAsia="fi-FI"/>
              </w:rPr>
            </w:pPr>
          </w:p>
          <w:p w14:paraId="235EBEF4"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tunnistaa tilanteet, jolloin tarvitaan pyöristämistä.</w:t>
            </w:r>
          </w:p>
        </w:tc>
        <w:tc>
          <w:tcPr>
            <w:tcW w:w="2845" w:type="dxa"/>
          </w:tcPr>
          <w:p w14:paraId="76BCA7CA" w14:textId="62F87F2C" w:rsidR="00C43AC4" w:rsidRPr="0032374F" w:rsidRDefault="00315020" w:rsidP="00861481">
            <w:pPr>
              <w:spacing w:after="0" w:line="240" w:lineRule="auto"/>
              <w:contextualSpacing/>
              <w:rPr>
                <w:rFonts w:eastAsia="Times New Roman" w:cstheme="minorHAnsi"/>
                <w:sz w:val="22"/>
                <w:szCs w:val="22"/>
                <w:lang w:eastAsia="fi-FI"/>
              </w:rPr>
            </w:pPr>
            <w:r>
              <w:rPr>
                <w:rFonts w:eastAsia="Times New Roman" w:cstheme="minorHAnsi"/>
                <w:sz w:val="22"/>
                <w:szCs w:val="22"/>
                <w:lang w:eastAsia="fi-FI"/>
              </w:rPr>
              <w:t>Tavoite arvioidaan viimeistä kertaa kahdeksannella vuosiluokalla.</w:t>
            </w:r>
          </w:p>
        </w:tc>
      </w:tr>
      <w:tr w:rsidR="00C43AC4" w:rsidRPr="0032374F" w14:paraId="5980C090" w14:textId="5D6938D7" w:rsidTr="006F47E3">
        <w:trPr>
          <w:trHeight w:val="2017"/>
          <w:jc w:val="center"/>
        </w:trPr>
        <w:tc>
          <w:tcPr>
            <w:tcW w:w="3709" w:type="dxa"/>
            <w:tcMar>
              <w:top w:w="100" w:type="dxa"/>
              <w:left w:w="100" w:type="dxa"/>
              <w:bottom w:w="100" w:type="dxa"/>
              <w:right w:w="100" w:type="dxa"/>
            </w:tcMar>
            <w:hideMark/>
          </w:tcPr>
          <w:p w14:paraId="47BABB6C"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T13 tukea oppilasta laajentamaan ymmärrystään prosenttilaskennasta</w:t>
            </w:r>
          </w:p>
        </w:tc>
        <w:tc>
          <w:tcPr>
            <w:tcW w:w="928" w:type="dxa"/>
            <w:tcMar>
              <w:top w:w="100" w:type="dxa"/>
              <w:left w:w="100" w:type="dxa"/>
              <w:bottom w:w="100" w:type="dxa"/>
              <w:right w:w="100" w:type="dxa"/>
            </w:tcMar>
            <w:hideMark/>
          </w:tcPr>
          <w:p w14:paraId="61B4EEDB"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S2, S6</w:t>
            </w:r>
          </w:p>
        </w:tc>
        <w:tc>
          <w:tcPr>
            <w:tcW w:w="3087" w:type="dxa"/>
            <w:gridSpan w:val="2"/>
            <w:tcMar>
              <w:top w:w="100" w:type="dxa"/>
              <w:left w:w="100" w:type="dxa"/>
              <w:bottom w:w="100" w:type="dxa"/>
              <w:right w:w="100" w:type="dxa"/>
            </w:tcMar>
            <w:hideMark/>
          </w:tcPr>
          <w:p w14:paraId="753C327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ymmärtää prosentin ja prosenttiyksikön käsitteet ja kertoo niiden käytöstä eri tilanteissa. Hän laskee prosenttiosuuden, prosenttiluvun osoittaman määrän sekä muutos- ja vertailuprosentin.</w:t>
            </w:r>
          </w:p>
        </w:tc>
        <w:tc>
          <w:tcPr>
            <w:tcW w:w="2370" w:type="dxa"/>
            <w:tcMar>
              <w:top w:w="100" w:type="dxa"/>
              <w:left w:w="100" w:type="dxa"/>
              <w:bottom w:w="100" w:type="dxa"/>
              <w:right w:w="100" w:type="dxa"/>
            </w:tcMar>
            <w:hideMark/>
          </w:tcPr>
          <w:p w14:paraId="21697A3E"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Prosentin käsite ja prosenttilaskenta</w:t>
            </w:r>
          </w:p>
        </w:tc>
        <w:tc>
          <w:tcPr>
            <w:tcW w:w="2375" w:type="dxa"/>
            <w:tcMar>
              <w:top w:w="100" w:type="dxa"/>
              <w:left w:w="100" w:type="dxa"/>
              <w:bottom w:w="100" w:type="dxa"/>
              <w:right w:w="100" w:type="dxa"/>
            </w:tcMar>
            <w:hideMark/>
          </w:tcPr>
          <w:p w14:paraId="6683632E"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selittää, päättelee tai laskee prosenttiosuuden ja prosenttiluvun osoittaman määrän.</w:t>
            </w:r>
          </w:p>
        </w:tc>
        <w:tc>
          <w:tcPr>
            <w:tcW w:w="2845" w:type="dxa"/>
          </w:tcPr>
          <w:p w14:paraId="28B68585"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6DCF4845" w14:textId="0CABA806" w:rsidTr="006F47E3">
        <w:trPr>
          <w:trHeight w:val="1040"/>
          <w:jc w:val="center"/>
        </w:trPr>
        <w:tc>
          <w:tcPr>
            <w:tcW w:w="3709" w:type="dxa"/>
            <w:tcMar>
              <w:top w:w="100" w:type="dxa"/>
              <w:left w:w="100" w:type="dxa"/>
              <w:bottom w:w="100" w:type="dxa"/>
              <w:right w:w="100" w:type="dxa"/>
            </w:tcMar>
            <w:hideMark/>
          </w:tcPr>
          <w:p w14:paraId="3B6840E2"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T14 ohjata oppilasta ymmärtämään tuntemattoman käsite ja kehittämään yhtälönratkaisutaitojaan</w:t>
            </w:r>
          </w:p>
        </w:tc>
        <w:tc>
          <w:tcPr>
            <w:tcW w:w="928" w:type="dxa"/>
            <w:tcMar>
              <w:top w:w="100" w:type="dxa"/>
              <w:left w:w="100" w:type="dxa"/>
              <w:bottom w:w="100" w:type="dxa"/>
              <w:right w:w="100" w:type="dxa"/>
            </w:tcMar>
            <w:hideMark/>
          </w:tcPr>
          <w:p w14:paraId="298DFF83"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S3, S4</w:t>
            </w:r>
          </w:p>
        </w:tc>
        <w:tc>
          <w:tcPr>
            <w:tcW w:w="3087" w:type="dxa"/>
            <w:gridSpan w:val="2"/>
            <w:tcMar>
              <w:top w:w="100" w:type="dxa"/>
              <w:left w:w="100" w:type="dxa"/>
              <w:bottom w:w="100" w:type="dxa"/>
              <w:right w:w="100" w:type="dxa"/>
            </w:tcMar>
            <w:hideMark/>
          </w:tcPr>
          <w:p w14:paraId="478FFD29"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ymmärtää tuntemattoman ja lausekkeen käsitteet sekä ratkaisee ensimmäisen asteen ja vaillinaisen toisen asteen yhtälöitä päättelemällä ja symbolisesti.</w:t>
            </w:r>
          </w:p>
        </w:tc>
        <w:tc>
          <w:tcPr>
            <w:tcW w:w="2370" w:type="dxa"/>
            <w:tcMar>
              <w:top w:w="100" w:type="dxa"/>
              <w:left w:w="100" w:type="dxa"/>
              <w:bottom w:w="100" w:type="dxa"/>
              <w:right w:w="100" w:type="dxa"/>
            </w:tcMar>
            <w:hideMark/>
          </w:tcPr>
          <w:p w14:paraId="79EFED0D"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Tuntemattoman käsite ja yhtälönratkaisutaidot</w:t>
            </w:r>
          </w:p>
        </w:tc>
        <w:tc>
          <w:tcPr>
            <w:tcW w:w="2375" w:type="dxa"/>
            <w:tcMar>
              <w:top w:w="100" w:type="dxa"/>
              <w:left w:w="100" w:type="dxa"/>
              <w:bottom w:w="100" w:type="dxa"/>
              <w:right w:w="100" w:type="dxa"/>
            </w:tcMar>
            <w:hideMark/>
          </w:tcPr>
          <w:p w14:paraId="0465FFC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yhdistää samanmuotoisia termejä. </w:t>
            </w:r>
          </w:p>
          <w:p w14:paraId="5812A9CB" w14:textId="77777777" w:rsidR="00C43AC4" w:rsidRPr="0032374F" w:rsidRDefault="00C43AC4" w:rsidP="00861481">
            <w:pPr>
              <w:spacing w:after="0" w:line="240" w:lineRule="auto"/>
              <w:contextualSpacing/>
              <w:rPr>
                <w:rFonts w:eastAsia="Times New Roman" w:cstheme="minorHAnsi"/>
                <w:sz w:val="22"/>
                <w:szCs w:val="22"/>
                <w:lang w:eastAsia="fi-FI"/>
              </w:rPr>
            </w:pPr>
          </w:p>
          <w:p w14:paraId="5F08C08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ratkaisee ohjattuna ensimmäisen asteen yhtälöitä ja päättelee ohjattuna vaillinaisen toisen asteen yhtälön jonkin ratkaisun. </w:t>
            </w:r>
          </w:p>
        </w:tc>
        <w:tc>
          <w:tcPr>
            <w:tcW w:w="2845" w:type="dxa"/>
          </w:tcPr>
          <w:p w14:paraId="3059A2EE"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7F5F74DC" w14:textId="23C1F77B" w:rsidTr="006F47E3">
        <w:trPr>
          <w:trHeight w:val="283"/>
          <w:jc w:val="center"/>
        </w:trPr>
        <w:tc>
          <w:tcPr>
            <w:tcW w:w="3709" w:type="dxa"/>
            <w:tcMar>
              <w:top w:w="100" w:type="dxa"/>
              <w:left w:w="100" w:type="dxa"/>
              <w:bottom w:w="100" w:type="dxa"/>
              <w:right w:w="100" w:type="dxa"/>
            </w:tcMar>
            <w:hideMark/>
          </w:tcPr>
          <w:p w14:paraId="44146C9D"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T15 ohjata oppilasta ymmärtämään muuttujan käsite ja tutustuttaa funktion käsitteeseen sekä ohjata oppilasta harjoittelemaan funktion kuvaajan tulkitsemista ja tuottamista</w:t>
            </w:r>
          </w:p>
        </w:tc>
        <w:tc>
          <w:tcPr>
            <w:tcW w:w="928" w:type="dxa"/>
            <w:tcMar>
              <w:top w:w="100" w:type="dxa"/>
              <w:left w:w="100" w:type="dxa"/>
              <w:bottom w:w="100" w:type="dxa"/>
              <w:right w:w="100" w:type="dxa"/>
            </w:tcMar>
            <w:hideMark/>
          </w:tcPr>
          <w:p w14:paraId="5E978C17"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S3, S4</w:t>
            </w:r>
          </w:p>
        </w:tc>
        <w:tc>
          <w:tcPr>
            <w:tcW w:w="3087" w:type="dxa"/>
            <w:gridSpan w:val="2"/>
            <w:tcMar>
              <w:top w:w="100" w:type="dxa"/>
              <w:left w:w="100" w:type="dxa"/>
              <w:bottom w:w="100" w:type="dxa"/>
              <w:right w:w="100" w:type="dxa"/>
            </w:tcMar>
            <w:hideMark/>
          </w:tcPr>
          <w:p w14:paraId="76E62C03"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laajentaa käsitystään muuttujista kahden muuttujan yhtälöihin ja piirtää ensimmäisen ja toisen asteen funktion kuvaajia. Oppilas tekee </w:t>
            </w:r>
            <w:r w:rsidRPr="0032374F">
              <w:rPr>
                <w:rFonts w:eastAsia="Times New Roman" w:cstheme="minorHAnsi"/>
                <w:sz w:val="22"/>
                <w:szCs w:val="22"/>
                <w:lang w:eastAsia="fi-FI"/>
              </w:rPr>
              <w:lastRenderedPageBreak/>
              <w:t>päätelmiä funktion ja sen kuvaajan välisestä yhteydestä.</w:t>
            </w:r>
          </w:p>
        </w:tc>
        <w:tc>
          <w:tcPr>
            <w:tcW w:w="2370" w:type="dxa"/>
            <w:tcMar>
              <w:top w:w="100" w:type="dxa"/>
              <w:left w:w="100" w:type="dxa"/>
              <w:bottom w:w="100" w:type="dxa"/>
              <w:right w:w="100" w:type="dxa"/>
            </w:tcMar>
            <w:hideMark/>
          </w:tcPr>
          <w:p w14:paraId="7733713D"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lastRenderedPageBreak/>
              <w:t>Muuttujan ja funktion käsitteet sekä kuvaajien tulkitseminen ja tuottaminen</w:t>
            </w:r>
          </w:p>
        </w:tc>
        <w:tc>
          <w:tcPr>
            <w:tcW w:w="2375" w:type="dxa"/>
            <w:tcMar>
              <w:top w:w="100" w:type="dxa"/>
              <w:left w:w="100" w:type="dxa"/>
              <w:bottom w:w="100" w:type="dxa"/>
              <w:right w:w="100" w:type="dxa"/>
            </w:tcMar>
            <w:hideMark/>
          </w:tcPr>
          <w:p w14:paraId="0B8C1EA2"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laskee lausekkeen arvon ja lukee leikkauspisteiden koordinaatteja. </w:t>
            </w:r>
          </w:p>
          <w:p w14:paraId="197FEEDE" w14:textId="77777777" w:rsidR="00C43AC4" w:rsidRPr="0032374F" w:rsidRDefault="00C43AC4" w:rsidP="00861481">
            <w:pPr>
              <w:spacing w:after="0" w:line="240" w:lineRule="auto"/>
              <w:contextualSpacing/>
              <w:rPr>
                <w:rFonts w:eastAsia="Times New Roman" w:cstheme="minorHAnsi"/>
                <w:sz w:val="22"/>
                <w:szCs w:val="22"/>
                <w:lang w:eastAsia="fi-FI"/>
              </w:rPr>
            </w:pPr>
          </w:p>
          <w:p w14:paraId="5BFB6F19"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lastRenderedPageBreak/>
              <w:t xml:space="preserve">Oppilas tunnistaa nousevan ja laskevan suoran yhtälöstä. </w:t>
            </w:r>
          </w:p>
          <w:p w14:paraId="57E1F19D" w14:textId="77777777" w:rsidR="00C43AC4" w:rsidRPr="0032374F" w:rsidRDefault="00C43AC4" w:rsidP="00861481">
            <w:pPr>
              <w:spacing w:after="0" w:line="240" w:lineRule="auto"/>
              <w:contextualSpacing/>
              <w:rPr>
                <w:rFonts w:eastAsia="Times New Roman" w:cstheme="minorHAnsi"/>
                <w:sz w:val="22"/>
                <w:szCs w:val="22"/>
                <w:lang w:eastAsia="fi-FI"/>
              </w:rPr>
            </w:pPr>
          </w:p>
          <w:p w14:paraId="11FF0495"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piirtää ohjattuna ensimmäisen asteen funktion kuvaajan koordinaatistoon. </w:t>
            </w:r>
          </w:p>
        </w:tc>
        <w:tc>
          <w:tcPr>
            <w:tcW w:w="2845" w:type="dxa"/>
          </w:tcPr>
          <w:p w14:paraId="633FEDDE"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474482AD" w14:textId="3B949A9F" w:rsidTr="006F47E3">
        <w:trPr>
          <w:trHeight w:val="883"/>
          <w:jc w:val="center"/>
        </w:trPr>
        <w:tc>
          <w:tcPr>
            <w:tcW w:w="3709" w:type="dxa"/>
            <w:tcMar>
              <w:top w:w="100" w:type="dxa"/>
              <w:left w:w="100" w:type="dxa"/>
              <w:bottom w:w="100" w:type="dxa"/>
              <w:right w:w="100" w:type="dxa"/>
            </w:tcMar>
            <w:hideMark/>
          </w:tcPr>
          <w:p w14:paraId="7CC4D492"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T17 ohjata oppilasta ymmärtämään ja hyödyntämään suorakulmaiseen kolmioon ja ympyrään liittyviä ominaisuuksia</w:t>
            </w:r>
          </w:p>
        </w:tc>
        <w:tc>
          <w:tcPr>
            <w:tcW w:w="928" w:type="dxa"/>
            <w:tcMar>
              <w:top w:w="100" w:type="dxa"/>
              <w:left w:w="100" w:type="dxa"/>
              <w:bottom w:w="100" w:type="dxa"/>
              <w:right w:w="100" w:type="dxa"/>
            </w:tcMar>
            <w:hideMark/>
          </w:tcPr>
          <w:p w14:paraId="261BDF53"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S5</w:t>
            </w:r>
          </w:p>
        </w:tc>
        <w:tc>
          <w:tcPr>
            <w:tcW w:w="3087" w:type="dxa"/>
            <w:gridSpan w:val="2"/>
            <w:tcMar>
              <w:top w:w="100" w:type="dxa"/>
              <w:left w:w="100" w:type="dxa"/>
              <w:bottom w:w="100" w:type="dxa"/>
              <w:right w:w="100" w:type="dxa"/>
            </w:tcMar>
            <w:hideMark/>
          </w:tcPr>
          <w:p w14:paraId="1653376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ymmärtää suorakulmaisen kolmion ominaisuuksia ja hyödyntää Pythagoraan lausetta ja trigonometrisia funktioita.</w:t>
            </w:r>
          </w:p>
          <w:p w14:paraId="1181A332"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tietää ympyrään liittyviä käsitteitä ja ominaisuuksia sekä osaa laskea ympyrän kehän pituuden.</w:t>
            </w:r>
          </w:p>
        </w:tc>
        <w:tc>
          <w:tcPr>
            <w:tcW w:w="2370" w:type="dxa"/>
            <w:tcMar>
              <w:top w:w="100" w:type="dxa"/>
              <w:left w:w="100" w:type="dxa"/>
              <w:bottom w:w="100" w:type="dxa"/>
              <w:right w:w="100" w:type="dxa"/>
            </w:tcMar>
            <w:hideMark/>
          </w:tcPr>
          <w:p w14:paraId="355E65CB"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Suorakulmaisen kolmion ja ympyrän ominaisuuksien hahmottaminen</w:t>
            </w:r>
          </w:p>
        </w:tc>
        <w:tc>
          <w:tcPr>
            <w:tcW w:w="2375" w:type="dxa"/>
            <w:tcMar>
              <w:top w:w="100" w:type="dxa"/>
              <w:left w:w="100" w:type="dxa"/>
              <w:bottom w:w="100" w:type="dxa"/>
              <w:right w:w="100" w:type="dxa"/>
            </w:tcMar>
            <w:hideMark/>
          </w:tcPr>
          <w:p w14:paraId="0173F22B"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laskee hypotenuusan pituuden käyttämällä Pythagoraan lausetta. </w:t>
            </w:r>
          </w:p>
          <w:p w14:paraId="581E11CB" w14:textId="77777777" w:rsidR="00C43AC4" w:rsidRPr="0032374F" w:rsidRDefault="00C43AC4" w:rsidP="00861481">
            <w:pPr>
              <w:spacing w:after="0" w:line="240" w:lineRule="auto"/>
              <w:contextualSpacing/>
              <w:rPr>
                <w:rFonts w:eastAsia="Times New Roman" w:cstheme="minorHAnsi"/>
                <w:sz w:val="22"/>
                <w:szCs w:val="22"/>
                <w:lang w:eastAsia="fi-FI"/>
              </w:rPr>
            </w:pPr>
          </w:p>
          <w:p w14:paraId="149D7F1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osaa tutkia kolmion suorakulmaisuutta. </w:t>
            </w:r>
          </w:p>
          <w:p w14:paraId="7921CC07" w14:textId="77777777" w:rsidR="00C43AC4" w:rsidRPr="0032374F" w:rsidRDefault="00C43AC4" w:rsidP="00861481">
            <w:pPr>
              <w:spacing w:after="0" w:line="240" w:lineRule="auto"/>
              <w:contextualSpacing/>
              <w:rPr>
                <w:rFonts w:eastAsia="Times New Roman" w:cstheme="minorHAnsi"/>
                <w:sz w:val="22"/>
                <w:szCs w:val="22"/>
                <w:lang w:eastAsia="fi-FI"/>
              </w:rPr>
            </w:pPr>
          </w:p>
          <w:p w14:paraId="209D229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tunnistaa ympyrään liittyviä käsitteitä ja laskee ohjattuna ympyrän kehän pituuden.</w:t>
            </w:r>
          </w:p>
          <w:p w14:paraId="474543BD" w14:textId="77777777" w:rsidR="00C43AC4" w:rsidRPr="0032374F" w:rsidRDefault="00C43AC4" w:rsidP="00861481">
            <w:pPr>
              <w:spacing w:after="0" w:line="240" w:lineRule="auto"/>
              <w:contextualSpacing/>
              <w:rPr>
                <w:rFonts w:eastAsia="Times New Roman" w:cstheme="minorHAnsi"/>
                <w:sz w:val="22"/>
                <w:szCs w:val="22"/>
                <w:lang w:eastAsia="fi-FI"/>
              </w:rPr>
            </w:pPr>
          </w:p>
        </w:tc>
        <w:tc>
          <w:tcPr>
            <w:tcW w:w="2845" w:type="dxa"/>
          </w:tcPr>
          <w:p w14:paraId="4EFCA020"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3A9D57E4" w14:textId="18D0DB08" w:rsidTr="006F47E3">
        <w:trPr>
          <w:trHeight w:val="2320"/>
          <w:jc w:val="center"/>
        </w:trPr>
        <w:tc>
          <w:tcPr>
            <w:tcW w:w="3709" w:type="dxa"/>
            <w:tcMar>
              <w:top w:w="100" w:type="dxa"/>
              <w:left w:w="100" w:type="dxa"/>
              <w:bottom w:w="100" w:type="dxa"/>
              <w:right w:w="100" w:type="dxa"/>
            </w:tcMar>
            <w:hideMark/>
          </w:tcPr>
          <w:p w14:paraId="2A55F899"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T18 kannustaa oppilasta kehittämään taitoaan laskea pinta-aloja ja tilavuuksia</w:t>
            </w:r>
          </w:p>
        </w:tc>
        <w:tc>
          <w:tcPr>
            <w:tcW w:w="928" w:type="dxa"/>
            <w:tcMar>
              <w:top w:w="100" w:type="dxa"/>
              <w:left w:w="100" w:type="dxa"/>
              <w:bottom w:w="100" w:type="dxa"/>
              <w:right w:w="100" w:type="dxa"/>
            </w:tcMar>
            <w:hideMark/>
          </w:tcPr>
          <w:p w14:paraId="3F2EBF94"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S5</w:t>
            </w:r>
          </w:p>
        </w:tc>
        <w:tc>
          <w:tcPr>
            <w:tcW w:w="3087" w:type="dxa"/>
            <w:gridSpan w:val="2"/>
            <w:tcMar>
              <w:top w:w="100" w:type="dxa"/>
              <w:left w:w="100" w:type="dxa"/>
              <w:bottom w:w="100" w:type="dxa"/>
              <w:right w:w="100" w:type="dxa"/>
            </w:tcMar>
            <w:hideMark/>
          </w:tcPr>
          <w:p w14:paraId="7F785ADE"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tietää avaruuskappaleisiin liittyviä nimityksiä ja ominaisuuksia. Hän osaa laskea tasokuvioiden pinta-aloja sekä kappaleiden tilavuuksia ja vaipan pinta-aloja. Hän soveltaa tietojaan käytännön tilanteisiin ja tekee pinta-alayksiköiden, tilavuusyksiköiden ja </w:t>
            </w:r>
            <w:r w:rsidRPr="0032374F">
              <w:rPr>
                <w:rFonts w:eastAsia="Times New Roman" w:cstheme="minorHAnsi"/>
                <w:sz w:val="22"/>
                <w:szCs w:val="22"/>
                <w:lang w:eastAsia="fi-FI"/>
              </w:rPr>
              <w:lastRenderedPageBreak/>
              <w:t>vetomittojen välillä muunnoksia.</w:t>
            </w:r>
          </w:p>
        </w:tc>
        <w:tc>
          <w:tcPr>
            <w:tcW w:w="2370" w:type="dxa"/>
            <w:tcMar>
              <w:top w:w="100" w:type="dxa"/>
              <w:left w:w="100" w:type="dxa"/>
              <w:bottom w:w="100" w:type="dxa"/>
              <w:right w:w="100" w:type="dxa"/>
            </w:tcMar>
            <w:hideMark/>
          </w:tcPr>
          <w:p w14:paraId="4742E924"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lastRenderedPageBreak/>
              <w:t>Pinta-alojen ja tilavuuksien laskutaito</w:t>
            </w:r>
          </w:p>
        </w:tc>
        <w:tc>
          <w:tcPr>
            <w:tcW w:w="2375" w:type="dxa"/>
            <w:tcMar>
              <w:top w:w="100" w:type="dxa"/>
              <w:left w:w="100" w:type="dxa"/>
              <w:bottom w:w="100" w:type="dxa"/>
              <w:right w:w="100" w:type="dxa"/>
            </w:tcMar>
            <w:hideMark/>
          </w:tcPr>
          <w:p w14:paraId="6CF6D288"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muuntaa yleisimmin käytettyjä pinta-alan ja tilavuuden yksiköitä. </w:t>
            </w:r>
          </w:p>
          <w:p w14:paraId="53F79E0C" w14:textId="77777777" w:rsidR="00C43AC4" w:rsidRPr="0032374F" w:rsidRDefault="00C43AC4" w:rsidP="00861481">
            <w:pPr>
              <w:spacing w:after="0" w:line="240" w:lineRule="auto"/>
              <w:contextualSpacing/>
              <w:rPr>
                <w:rFonts w:eastAsia="Times New Roman" w:cstheme="minorHAnsi"/>
                <w:sz w:val="22"/>
                <w:szCs w:val="22"/>
                <w:lang w:eastAsia="fi-FI"/>
              </w:rPr>
            </w:pPr>
          </w:p>
          <w:p w14:paraId="5D7708E6"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osaa laskea suorakulmion pinta-alan ja suorakulmaisen särmiön tilavuuden.</w:t>
            </w:r>
          </w:p>
        </w:tc>
        <w:tc>
          <w:tcPr>
            <w:tcW w:w="2845" w:type="dxa"/>
          </w:tcPr>
          <w:p w14:paraId="1F6F7516"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1A5C5614" w14:textId="51A3D5B4" w:rsidTr="006F47E3">
        <w:trPr>
          <w:trHeight w:val="567"/>
          <w:jc w:val="center"/>
        </w:trPr>
        <w:tc>
          <w:tcPr>
            <w:tcW w:w="3709" w:type="dxa"/>
            <w:tcMar>
              <w:top w:w="100" w:type="dxa"/>
              <w:left w:w="100" w:type="dxa"/>
              <w:bottom w:w="100" w:type="dxa"/>
              <w:right w:w="100" w:type="dxa"/>
            </w:tcMar>
            <w:hideMark/>
          </w:tcPr>
          <w:p w14:paraId="414194BA"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T19 ohjata oppilasta määrittämään tilastollisia tunnuslukuja ja laskemaan todennäköisyyksiä</w:t>
            </w:r>
          </w:p>
        </w:tc>
        <w:tc>
          <w:tcPr>
            <w:tcW w:w="928" w:type="dxa"/>
            <w:tcMar>
              <w:top w:w="100" w:type="dxa"/>
              <w:left w:w="100" w:type="dxa"/>
              <w:bottom w:w="100" w:type="dxa"/>
              <w:right w:w="100" w:type="dxa"/>
            </w:tcMar>
            <w:hideMark/>
          </w:tcPr>
          <w:p w14:paraId="0BF387AE"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S6</w:t>
            </w:r>
          </w:p>
        </w:tc>
        <w:tc>
          <w:tcPr>
            <w:tcW w:w="3087" w:type="dxa"/>
            <w:gridSpan w:val="2"/>
            <w:tcMar>
              <w:top w:w="100" w:type="dxa"/>
              <w:left w:w="100" w:type="dxa"/>
              <w:bottom w:w="100" w:type="dxa"/>
              <w:right w:w="100" w:type="dxa"/>
            </w:tcMar>
            <w:hideMark/>
          </w:tcPr>
          <w:p w14:paraId="18A8C51A"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hallitsee aineistojen keräämisen, luokittelun, analysoinnin ja raportoinnin. Hän lukee ja tulkitsee diagrammeja sekä tekee ennusteita niihin perustuen. Oppilas laskee keskiarvon ja määrittää tyyppiarvon sekä mediaanin ja tekee niiden perusteella päätelmiä. Oppilas määrittää klassisen ja tilastollisen todennäköisyyden sekä ymmärtää niiden antamaa informaatiota.</w:t>
            </w:r>
          </w:p>
        </w:tc>
        <w:tc>
          <w:tcPr>
            <w:tcW w:w="2370" w:type="dxa"/>
            <w:tcMar>
              <w:top w:w="100" w:type="dxa"/>
              <w:left w:w="100" w:type="dxa"/>
              <w:bottom w:w="100" w:type="dxa"/>
              <w:right w:w="100" w:type="dxa"/>
            </w:tcMar>
            <w:hideMark/>
          </w:tcPr>
          <w:p w14:paraId="1D9E3457"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Tilastolliset tunnusluvut ja todennäköisyyslaskenta</w:t>
            </w:r>
          </w:p>
        </w:tc>
        <w:tc>
          <w:tcPr>
            <w:tcW w:w="2375" w:type="dxa"/>
            <w:tcMar>
              <w:top w:w="100" w:type="dxa"/>
              <w:left w:w="100" w:type="dxa"/>
              <w:bottom w:w="100" w:type="dxa"/>
              <w:right w:w="100" w:type="dxa"/>
            </w:tcMar>
            <w:hideMark/>
          </w:tcPr>
          <w:p w14:paraId="594AA26E"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lukee tiedon pylväs-, viiva- ja ympyrädiagrammista sekä taulukosta. </w:t>
            </w:r>
          </w:p>
          <w:p w14:paraId="1F4631FA" w14:textId="77777777" w:rsidR="00C43AC4" w:rsidRPr="0032374F" w:rsidRDefault="00C43AC4" w:rsidP="00861481">
            <w:pPr>
              <w:spacing w:after="0" w:line="240" w:lineRule="auto"/>
              <w:contextualSpacing/>
              <w:rPr>
                <w:rFonts w:eastAsia="Times New Roman" w:cstheme="minorHAnsi"/>
                <w:sz w:val="22"/>
                <w:szCs w:val="22"/>
                <w:lang w:eastAsia="fi-FI"/>
              </w:rPr>
            </w:pPr>
          </w:p>
          <w:p w14:paraId="62F7F964"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 xml:space="preserve">Oppilas laskee keskiarvon ja määrittää ohjattuna tyyppiarvon ja mediaanin. </w:t>
            </w:r>
          </w:p>
          <w:p w14:paraId="5E276CA9" w14:textId="77777777" w:rsidR="00C43AC4" w:rsidRPr="0032374F" w:rsidRDefault="00C43AC4" w:rsidP="00861481">
            <w:pPr>
              <w:spacing w:after="0" w:line="240" w:lineRule="auto"/>
              <w:contextualSpacing/>
              <w:rPr>
                <w:rFonts w:eastAsia="Times New Roman" w:cstheme="minorHAnsi"/>
                <w:sz w:val="22"/>
                <w:szCs w:val="22"/>
                <w:lang w:eastAsia="fi-FI"/>
              </w:rPr>
            </w:pPr>
          </w:p>
          <w:p w14:paraId="2980687C"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päättelee ohjattuna klassisia todennäköisyyksiä. </w:t>
            </w:r>
          </w:p>
          <w:p w14:paraId="3E3535C3" w14:textId="77777777" w:rsidR="00C43AC4" w:rsidRPr="0032374F" w:rsidRDefault="00C43AC4" w:rsidP="00861481">
            <w:pPr>
              <w:spacing w:after="0" w:line="240" w:lineRule="auto"/>
              <w:contextualSpacing/>
              <w:rPr>
                <w:rFonts w:eastAsia="Times New Roman" w:cstheme="minorHAnsi"/>
                <w:sz w:val="22"/>
                <w:szCs w:val="22"/>
                <w:lang w:eastAsia="fi-FI"/>
              </w:rPr>
            </w:pPr>
          </w:p>
        </w:tc>
        <w:tc>
          <w:tcPr>
            <w:tcW w:w="2845" w:type="dxa"/>
          </w:tcPr>
          <w:p w14:paraId="154A343C" w14:textId="77777777" w:rsidR="00C43AC4" w:rsidRPr="0032374F" w:rsidRDefault="00C43AC4" w:rsidP="00861481">
            <w:pPr>
              <w:spacing w:after="0" w:line="240" w:lineRule="auto"/>
              <w:contextualSpacing/>
              <w:rPr>
                <w:rFonts w:eastAsia="Times New Roman" w:cstheme="minorHAnsi"/>
                <w:sz w:val="22"/>
                <w:szCs w:val="22"/>
                <w:lang w:eastAsia="fi-FI"/>
              </w:rPr>
            </w:pPr>
          </w:p>
        </w:tc>
      </w:tr>
      <w:tr w:rsidR="00C43AC4" w:rsidRPr="0032374F" w14:paraId="46D2992E" w14:textId="0A0F58C2" w:rsidTr="006F47E3">
        <w:trPr>
          <w:trHeight w:val="1040"/>
          <w:jc w:val="center"/>
        </w:trPr>
        <w:tc>
          <w:tcPr>
            <w:tcW w:w="3709" w:type="dxa"/>
            <w:tcMar>
              <w:top w:w="100" w:type="dxa"/>
              <w:left w:w="100" w:type="dxa"/>
              <w:bottom w:w="100" w:type="dxa"/>
              <w:right w:w="100" w:type="dxa"/>
            </w:tcMar>
            <w:hideMark/>
          </w:tcPr>
          <w:p w14:paraId="635F07BE" w14:textId="77777777" w:rsidR="00C43AC4" w:rsidRPr="0032374F" w:rsidRDefault="00C43AC4" w:rsidP="00861481">
            <w:pPr>
              <w:spacing w:after="0" w:line="240" w:lineRule="auto"/>
              <w:ind w:left="40"/>
              <w:contextualSpacing/>
              <w:rPr>
                <w:rFonts w:eastAsia="Times New Roman" w:cstheme="minorHAnsi"/>
                <w:sz w:val="22"/>
                <w:szCs w:val="22"/>
                <w:lang w:eastAsia="fi-FI"/>
              </w:rPr>
            </w:pPr>
            <w:r w:rsidRPr="0032374F">
              <w:rPr>
                <w:rFonts w:eastAsia="Times New Roman" w:cstheme="minorHAnsi"/>
                <w:sz w:val="22"/>
                <w:szCs w:val="22"/>
                <w:lang w:eastAsia="fi-FI"/>
              </w:rPr>
              <w:t>T20 ohjata oppilasta kehittämään algoritmista ajatteluaan sekä taitojaan soveltaa matematiikkaa ja ohjelmointia ongelmien ratkaisemiseen</w:t>
            </w:r>
          </w:p>
        </w:tc>
        <w:tc>
          <w:tcPr>
            <w:tcW w:w="928" w:type="dxa"/>
            <w:tcMar>
              <w:top w:w="100" w:type="dxa"/>
              <w:left w:w="100" w:type="dxa"/>
              <w:bottom w:w="100" w:type="dxa"/>
              <w:right w:w="100" w:type="dxa"/>
            </w:tcMar>
            <w:hideMark/>
          </w:tcPr>
          <w:p w14:paraId="4FB8F2FE"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S1</w:t>
            </w:r>
          </w:p>
        </w:tc>
        <w:tc>
          <w:tcPr>
            <w:tcW w:w="3087" w:type="dxa"/>
            <w:gridSpan w:val="2"/>
            <w:tcMar>
              <w:top w:w="100" w:type="dxa"/>
              <w:left w:w="100" w:type="dxa"/>
              <w:bottom w:w="100" w:type="dxa"/>
              <w:right w:w="100" w:type="dxa"/>
            </w:tcMar>
            <w:hideMark/>
          </w:tcPr>
          <w:p w14:paraId="054ED47E"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ymmärtää algoritmisen ajattelun periaatteita. Hän osaa lukea, kommentoida, tulkita, testata, suunnitella ja ohjelmoida pieniä ohjelmia, joilla ratkaistaan matemaattisia ongelmia.</w:t>
            </w:r>
          </w:p>
        </w:tc>
        <w:tc>
          <w:tcPr>
            <w:tcW w:w="2370" w:type="dxa"/>
            <w:tcMar>
              <w:top w:w="100" w:type="dxa"/>
              <w:left w:w="100" w:type="dxa"/>
              <w:bottom w:w="100" w:type="dxa"/>
              <w:right w:w="100" w:type="dxa"/>
            </w:tcMar>
            <w:hideMark/>
          </w:tcPr>
          <w:p w14:paraId="3C3A8D90" w14:textId="77777777" w:rsidR="00C43AC4" w:rsidRPr="0032374F" w:rsidRDefault="00C43AC4" w:rsidP="00861481">
            <w:pPr>
              <w:spacing w:after="20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Algoritminen ajattelu ja ohjelmointitaidot</w:t>
            </w:r>
          </w:p>
        </w:tc>
        <w:tc>
          <w:tcPr>
            <w:tcW w:w="2375" w:type="dxa"/>
            <w:tcMar>
              <w:top w:w="100" w:type="dxa"/>
              <w:left w:w="100" w:type="dxa"/>
              <w:bottom w:w="100" w:type="dxa"/>
              <w:right w:w="100" w:type="dxa"/>
            </w:tcMar>
            <w:hideMark/>
          </w:tcPr>
          <w:p w14:paraId="2D559219" w14:textId="77777777" w:rsidR="00C43AC4" w:rsidRPr="0032374F" w:rsidRDefault="00C43AC4" w:rsidP="00861481">
            <w:pPr>
              <w:spacing w:after="0" w:line="240" w:lineRule="auto"/>
              <w:contextualSpacing/>
              <w:rPr>
                <w:rFonts w:eastAsia="Times New Roman" w:cstheme="minorHAnsi"/>
                <w:sz w:val="22"/>
                <w:szCs w:val="22"/>
                <w:lang w:eastAsia="fi-FI"/>
              </w:rPr>
            </w:pPr>
            <w:r w:rsidRPr="0032374F">
              <w:rPr>
                <w:rFonts w:eastAsia="Times New Roman" w:cstheme="minorHAnsi"/>
                <w:sz w:val="22"/>
                <w:szCs w:val="22"/>
                <w:lang w:eastAsia="fi-FI"/>
              </w:rPr>
              <w:t>Oppilas tunnistaa yksinkertaisen algoritmin askeleet ja testaa ohjattuna valmiita ohjelmia.</w:t>
            </w:r>
          </w:p>
        </w:tc>
        <w:tc>
          <w:tcPr>
            <w:tcW w:w="2845" w:type="dxa"/>
          </w:tcPr>
          <w:p w14:paraId="09CCAFDF" w14:textId="292E0D8B" w:rsidR="00C43AC4" w:rsidRPr="0032374F" w:rsidRDefault="00E079E4" w:rsidP="00861481">
            <w:pPr>
              <w:spacing w:after="0" w:line="240" w:lineRule="auto"/>
              <w:contextualSpacing/>
              <w:rPr>
                <w:rFonts w:eastAsia="Times New Roman" w:cstheme="minorHAnsi"/>
                <w:sz w:val="22"/>
                <w:szCs w:val="22"/>
                <w:lang w:eastAsia="fi-FI"/>
              </w:rPr>
            </w:pPr>
            <w:r w:rsidRPr="00614CA0">
              <w:rPr>
                <w:rFonts w:eastAsia="Times New Roman"/>
                <w:sz w:val="22"/>
                <w:szCs w:val="22"/>
                <w:lang w:eastAsia="fi-FI"/>
              </w:rPr>
              <w:t xml:space="preserve">Tavoite </w:t>
            </w:r>
            <w:proofErr w:type="spellStart"/>
            <w:r w:rsidRPr="00614CA0">
              <w:rPr>
                <w:rFonts w:eastAsia="Times New Roman"/>
                <w:sz w:val="22"/>
                <w:szCs w:val="22"/>
                <w:lang w:eastAsia="fi-FI"/>
              </w:rPr>
              <w:t>vuosiluokkaistettu</w:t>
            </w:r>
            <w:proofErr w:type="spellEnd"/>
            <w:r w:rsidRPr="00614CA0">
              <w:rPr>
                <w:rFonts w:eastAsia="Times New Roman"/>
                <w:sz w:val="22"/>
                <w:szCs w:val="22"/>
                <w:lang w:eastAsia="fi-FI"/>
              </w:rPr>
              <w:t xml:space="preserve"> Jyväskylässä vain </w:t>
            </w:r>
            <w:r>
              <w:rPr>
                <w:rFonts w:eastAsia="Times New Roman"/>
                <w:sz w:val="22"/>
                <w:szCs w:val="22"/>
                <w:lang w:eastAsia="fi-FI"/>
              </w:rPr>
              <w:t>8</w:t>
            </w:r>
            <w:r w:rsidRPr="00614CA0">
              <w:rPr>
                <w:rFonts w:eastAsia="Times New Roman"/>
                <w:sz w:val="22"/>
                <w:szCs w:val="22"/>
                <w:lang w:eastAsia="fi-FI"/>
              </w:rPr>
              <w:t>lk:lle.</w:t>
            </w:r>
          </w:p>
        </w:tc>
      </w:tr>
    </w:tbl>
    <w:p w14:paraId="0E11A86D" w14:textId="77777777" w:rsidR="0006556D" w:rsidRPr="0032374F" w:rsidRDefault="0006556D" w:rsidP="00861481">
      <w:pPr>
        <w:spacing w:line="240" w:lineRule="auto"/>
        <w:rPr>
          <w:sz w:val="22"/>
          <w:szCs w:val="22"/>
        </w:rPr>
      </w:pPr>
    </w:p>
    <w:sectPr w:rsidR="0006556D" w:rsidRPr="0032374F" w:rsidSect="0050456F">
      <w:headerReference w:type="default" r:id="rId1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A66BA" w14:textId="77777777" w:rsidR="00DB4717" w:rsidRDefault="00DB4717">
      <w:pPr>
        <w:spacing w:after="0" w:line="240" w:lineRule="auto"/>
      </w:pPr>
      <w:r>
        <w:separator/>
      </w:r>
    </w:p>
  </w:endnote>
  <w:endnote w:type="continuationSeparator" w:id="0">
    <w:p w14:paraId="068E46EC" w14:textId="77777777" w:rsidR="00DB4717" w:rsidRDefault="00DB4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941C" w14:textId="77777777" w:rsidR="00DB4717" w:rsidRDefault="00DB4717">
      <w:pPr>
        <w:spacing w:after="0" w:line="240" w:lineRule="auto"/>
      </w:pPr>
      <w:r>
        <w:separator/>
      </w:r>
    </w:p>
  </w:footnote>
  <w:footnote w:type="continuationSeparator" w:id="0">
    <w:p w14:paraId="1192705F" w14:textId="77777777" w:rsidR="00DB4717" w:rsidRDefault="00DB4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BD4AB" w14:textId="6F79CF0A" w:rsidR="5AED5D6B" w:rsidRDefault="5AED5D6B" w:rsidP="5AED5D6B">
    <w:pPr>
      <w:pStyle w:val="Yltunniste"/>
      <w:rPr>
        <w:sz w:val="24"/>
        <w:szCs w:val="24"/>
      </w:rPr>
    </w:pPr>
    <w:r w:rsidRPr="5AED5D6B">
      <w:rPr>
        <w:sz w:val="22"/>
        <w:szCs w:val="22"/>
      </w:rPr>
      <w:fldChar w:fldCharType="begin"/>
    </w:r>
    <w:r>
      <w:instrText>PAGE</w:instrText>
    </w:r>
    <w:r w:rsidRPr="5AED5D6B">
      <w:fldChar w:fldCharType="separate"/>
    </w:r>
    <w:r w:rsidR="00E4621F">
      <w:rPr>
        <w:noProof/>
      </w:rPr>
      <w:t>1</w:t>
    </w:r>
    <w:r w:rsidRPr="5AED5D6B">
      <w:rPr>
        <w:sz w:val="22"/>
        <w:szCs w:val="22"/>
      </w:rPr>
      <w:fldChar w:fldCharType="end"/>
    </w:r>
    <w:r w:rsidRPr="5AED5D6B">
      <w:rPr>
        <w:sz w:val="22"/>
        <w:szCs w:val="22"/>
      </w:rPr>
      <w:t xml:space="preserve"> </w:t>
    </w:r>
    <w:r w:rsidR="00861481">
      <w:rPr>
        <w:sz w:val="22"/>
        <w:szCs w:val="22"/>
      </w:rPr>
      <w:t>–</w:t>
    </w:r>
    <w:r w:rsidRPr="5AED5D6B">
      <w:rPr>
        <w:sz w:val="22"/>
        <w:szCs w:val="22"/>
      </w:rPr>
      <w:t xml:space="preserve"> Matematiikka 8lk</w:t>
    </w:r>
    <w:r w:rsidR="00861481">
      <w:rPr>
        <w:sz w:val="22"/>
        <w:szCs w:val="22"/>
      </w:rPr>
      <w:t xml:space="preserve"> – Arvosana viisi</w:t>
    </w:r>
  </w:p>
  <w:p w14:paraId="555BD195" w14:textId="074B4BC0" w:rsidR="5AED5D6B" w:rsidRDefault="5AED5D6B" w:rsidP="5AED5D6B">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570CC"/>
    <w:multiLevelType w:val="hybridMultilevel"/>
    <w:tmpl w:val="1A4678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230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07139B4"/>
    <w:rsid w:val="0006556D"/>
    <w:rsid w:val="000D30C3"/>
    <w:rsid w:val="000E314F"/>
    <w:rsid w:val="00251D81"/>
    <w:rsid w:val="00315020"/>
    <w:rsid w:val="0032374F"/>
    <w:rsid w:val="00330DBD"/>
    <w:rsid w:val="003340BA"/>
    <w:rsid w:val="004770CC"/>
    <w:rsid w:val="0050456F"/>
    <w:rsid w:val="005329D9"/>
    <w:rsid w:val="005E0E1E"/>
    <w:rsid w:val="005F4234"/>
    <w:rsid w:val="006F3E9D"/>
    <w:rsid w:val="006F47E3"/>
    <w:rsid w:val="006F5FFC"/>
    <w:rsid w:val="00861481"/>
    <w:rsid w:val="008A2DB2"/>
    <w:rsid w:val="00962515"/>
    <w:rsid w:val="0098665F"/>
    <w:rsid w:val="00C43AC4"/>
    <w:rsid w:val="00DB4717"/>
    <w:rsid w:val="00E079E4"/>
    <w:rsid w:val="00E4621F"/>
    <w:rsid w:val="00F12CA2"/>
    <w:rsid w:val="2DD31F93"/>
    <w:rsid w:val="3357833D"/>
    <w:rsid w:val="407139B4"/>
    <w:rsid w:val="5239DD70"/>
    <w:rsid w:val="58C5AD3C"/>
    <w:rsid w:val="5AED5D6B"/>
    <w:rsid w:val="5BDE2D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39B4"/>
  <w15:chartTrackingRefBased/>
  <w15:docId w15:val="{239749E5-7AB5-4304-B1A7-3AC748ADB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43AC4"/>
    <w:pPr>
      <w:spacing w:after="120" w:line="264" w:lineRule="auto"/>
    </w:pPr>
    <w:rPr>
      <w:rFonts w:eastAsiaTheme="minorEastAsia"/>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C43AC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YltunnisteChar">
    <w:name w:val="Ylätunniste Char"/>
    <w:basedOn w:val="Kappaleenoletusfontti"/>
    <w:link w:val="Yltunniste"/>
    <w:uiPriority w:val="99"/>
  </w:style>
  <w:style w:type="paragraph" w:styleId="Yltunniste">
    <w:name w:val="header"/>
    <w:basedOn w:val="Normaali"/>
    <w:link w:val="YltunnisteChar"/>
    <w:uiPriority w:val="99"/>
    <w:unhideWhenUsed/>
    <w:pPr>
      <w:tabs>
        <w:tab w:val="center" w:pos="4680"/>
        <w:tab w:val="right" w:pos="9360"/>
      </w:tabs>
      <w:spacing w:after="0" w:line="240" w:lineRule="auto"/>
    </w:pPr>
  </w:style>
  <w:style w:type="character" w:customStyle="1" w:styleId="AlatunnisteChar">
    <w:name w:val="Alatunniste Char"/>
    <w:basedOn w:val="Kappaleenoletusfontti"/>
    <w:link w:val="Alatunniste"/>
    <w:uiPriority w:val="99"/>
  </w:style>
  <w:style w:type="paragraph" w:styleId="Alatunniste">
    <w:name w:val="footer"/>
    <w:basedOn w:val="Normaali"/>
    <w:link w:val="AlatunnisteChar"/>
    <w:uiPriority w:val="99"/>
    <w:unhideWhenUsed/>
    <w:pPr>
      <w:tabs>
        <w:tab w:val="center" w:pos="4680"/>
        <w:tab w:val="right" w:pos="9360"/>
      </w:tabs>
      <w:spacing w:after="0" w:line="240" w:lineRule="auto"/>
    </w:pPr>
  </w:style>
  <w:style w:type="paragraph" w:styleId="Luettelokappale">
    <w:name w:val="List Paragraph"/>
    <w:basedOn w:val="Normaali"/>
    <w:uiPriority w:val="34"/>
    <w:qFormat/>
    <w:rsid w:val="00E4621F"/>
    <w:pPr>
      <w:ind w:left="720"/>
      <w:contextualSpacing/>
    </w:pPr>
  </w:style>
  <w:style w:type="character" w:styleId="Hyperlinkki">
    <w:name w:val="Hyperlink"/>
    <w:basedOn w:val="Kappaleenoletusfontti"/>
    <w:uiPriority w:val="99"/>
    <w:unhideWhenUsed/>
    <w:rsid w:val="00F12CA2"/>
    <w:rPr>
      <w:color w:val="0563C1" w:themeColor="hyperlink"/>
      <w:u w:val="single"/>
    </w:rPr>
  </w:style>
  <w:style w:type="character" w:styleId="Ratkaisematonmaininta">
    <w:name w:val="Unresolved Mention"/>
    <w:basedOn w:val="Kappaleenoletusfontti"/>
    <w:uiPriority w:val="99"/>
    <w:semiHidden/>
    <w:unhideWhenUsed/>
    <w:rsid w:val="00F12CA2"/>
    <w:rPr>
      <w:color w:val="605E5C"/>
      <w:shd w:val="clear" w:color="auto" w:fill="E1DFDD"/>
    </w:rPr>
  </w:style>
  <w:style w:type="paragraph" w:customStyle="1" w:styleId="paragraph">
    <w:name w:val="paragraph"/>
    <w:basedOn w:val="Normaali"/>
    <w:rsid w:val="005F423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5F4234"/>
  </w:style>
  <w:style w:type="character" w:customStyle="1" w:styleId="eop">
    <w:name w:val="eop"/>
    <w:basedOn w:val="Kappaleenoletusfontti"/>
    <w:rsid w:val="005F42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403500">
      <w:bodyDiv w:val="1"/>
      <w:marLeft w:val="0"/>
      <w:marRight w:val="0"/>
      <w:marTop w:val="0"/>
      <w:marBottom w:val="0"/>
      <w:divBdr>
        <w:top w:val="none" w:sz="0" w:space="0" w:color="auto"/>
        <w:left w:val="none" w:sz="0" w:space="0" w:color="auto"/>
        <w:bottom w:val="none" w:sz="0" w:space="0" w:color="auto"/>
        <w:right w:val="none" w:sz="0" w:space="0" w:color="auto"/>
      </w:divBdr>
      <w:divsChild>
        <w:div w:id="1608073232">
          <w:marLeft w:val="0"/>
          <w:marRight w:val="0"/>
          <w:marTop w:val="0"/>
          <w:marBottom w:val="0"/>
          <w:divBdr>
            <w:top w:val="none" w:sz="0" w:space="0" w:color="auto"/>
            <w:left w:val="none" w:sz="0" w:space="0" w:color="auto"/>
            <w:bottom w:val="none" w:sz="0" w:space="0" w:color="auto"/>
            <w:right w:val="none" w:sz="0" w:space="0" w:color="auto"/>
          </w:divBdr>
        </w:div>
        <w:div w:id="127809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oph.fi/fi/koulutus-ja-tutkinnot/matematiikan-paattoarviointi"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014F3CFD27503045AAA6BAD387E994C1" ma:contentTypeVersion="6" ma:contentTypeDescription="Luo uusi asiakirja." ma:contentTypeScope="" ma:versionID="c84ce3e0bfea32cbf1e265b4ea230087">
  <xsd:schema xmlns:xsd="http://www.w3.org/2001/XMLSchema" xmlns:xs="http://www.w3.org/2001/XMLSchema" xmlns:p="http://schemas.microsoft.com/office/2006/metadata/properties" xmlns:ns2="f3b56573-65e0-4cd8-a089-0ef213841ae3" xmlns:ns3="ba64c075-4be2-4d04-96b7-e0f78b363a7c" targetNamespace="http://schemas.microsoft.com/office/2006/metadata/properties" ma:root="true" ma:fieldsID="c0f48b7a475d84cfc11da70b3d2179fd" ns2:_="" ns3:_="">
    <xsd:import namespace="f3b56573-65e0-4cd8-a089-0ef213841ae3"/>
    <xsd:import namespace="ba64c075-4be2-4d04-96b7-e0f78b363a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56573-65e0-4cd8-a089-0ef213841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64c075-4be2-4d04-96b7-e0f78b363a7c"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16B14-A058-4FB3-9D4A-3B62CF33CB31}">
  <ds:schemaRefs>
    <ds:schemaRef ds:uri="f3b56573-65e0-4cd8-a089-0ef213841ae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a64c075-4be2-4d04-96b7-e0f78b363a7c"/>
    <ds:schemaRef ds:uri="http://www.w3.org/XML/1998/namespace"/>
    <ds:schemaRef ds:uri="http://purl.org/dc/dcmitype/"/>
  </ds:schemaRefs>
</ds:datastoreItem>
</file>

<file path=customXml/itemProps2.xml><?xml version="1.0" encoding="utf-8"?>
<ds:datastoreItem xmlns:ds="http://schemas.openxmlformats.org/officeDocument/2006/customXml" ds:itemID="{0108A8F3-4EBA-484D-99F6-04E96E923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56573-65e0-4cd8-a089-0ef213841ae3"/>
    <ds:schemaRef ds:uri="ba64c075-4be2-4d04-96b7-e0f78b363a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69AA83-60CC-4DDB-9F93-7B8C5A6A4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1097</Words>
  <Characters>8886</Characters>
  <Application>Microsoft Office Word</Application>
  <DocSecurity>0</DocSecurity>
  <Lines>74</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Tikkanen Anneli</dc:creator>
  <cp:keywords/>
  <dc:description/>
  <cp:lastModifiedBy>Tikkanen Anneli</cp:lastModifiedBy>
  <cp:revision>26</cp:revision>
  <dcterms:created xsi:type="dcterms:W3CDTF">2023-04-12T12:06:00Z</dcterms:created>
  <dcterms:modified xsi:type="dcterms:W3CDTF">2024-03-13T13:59:00Z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0x010100014F3CFD27503045AAA6BAD387E994C1</vt:lpwstr>
  </property>
</Properties>
</file>