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834"/>
        <w:gridCol w:w="988"/>
        <w:gridCol w:w="2887"/>
        <w:gridCol w:w="2336"/>
        <w:gridCol w:w="2718"/>
        <w:gridCol w:w="3625"/>
      </w:tblGrid>
      <w:tr w:rsidR="00FC4DA8" w:rsidRPr="00B300A5" w14:paraId="766E4E3A" w14:textId="77777777" w:rsidTr="21DB725F">
        <w:trPr>
          <w:trHeight w:val="284"/>
        </w:trPr>
        <w:tc>
          <w:tcPr>
            <w:tcW w:w="5000" w:type="pct"/>
            <w:gridSpan w:val="6"/>
            <w:shd w:val="clear" w:color="auto" w:fill="auto"/>
            <w:tcMar>
              <w:top w:w="100" w:type="dxa"/>
              <w:left w:w="100" w:type="dxa"/>
              <w:bottom w:w="100" w:type="dxa"/>
              <w:right w:w="100" w:type="dxa"/>
            </w:tcMar>
          </w:tcPr>
          <w:p w14:paraId="7515CEAB" w14:textId="7485A3C2" w:rsidR="00FC4DA8" w:rsidRPr="00B300A5" w:rsidRDefault="00D8708C" w:rsidP="00D8708C">
            <w:pPr>
              <w:spacing w:line="240" w:lineRule="auto"/>
              <w:contextualSpacing/>
              <w:rPr>
                <w:rFonts w:ascii="Calibri" w:eastAsia="Calibri" w:hAnsi="Calibri" w:cs="Calibri"/>
                <w:color w:val="333333"/>
                <w:sz w:val="22"/>
                <w:szCs w:val="22"/>
              </w:rPr>
            </w:pPr>
            <w:r>
              <w:rPr>
                <w:rFonts w:ascii="Calibri" w:eastAsia="Calibri" w:hAnsi="Calibri" w:cs="Calibri"/>
                <w:color w:val="333333"/>
                <w:sz w:val="22"/>
                <w:szCs w:val="22"/>
              </w:rPr>
              <w:t>KE 8lk – Arvosana viisi</w:t>
            </w:r>
            <w:r>
              <w:rPr>
                <w:rFonts w:ascii="Calibri" w:eastAsia="Calibri" w:hAnsi="Calibri" w:cs="Calibri"/>
                <w:b/>
                <w:bCs/>
                <w:color w:val="333333"/>
                <w:sz w:val="22"/>
                <w:szCs w:val="22"/>
              </w:rPr>
              <w:br/>
            </w:r>
            <w:r>
              <w:rPr>
                <w:rFonts w:ascii="Calibri" w:eastAsia="Calibri" w:hAnsi="Calibri" w:cs="Calibri"/>
                <w:b/>
                <w:bCs/>
                <w:color w:val="333333"/>
                <w:sz w:val="22"/>
                <w:szCs w:val="22"/>
              </w:rPr>
              <w:br/>
            </w:r>
            <w:r w:rsidR="7CA9CD08" w:rsidRPr="00B300A5">
              <w:rPr>
                <w:rFonts w:ascii="Calibri" w:eastAsia="Calibri" w:hAnsi="Calibri" w:cs="Calibri"/>
                <w:b/>
                <w:bCs/>
                <w:color w:val="333333"/>
                <w:sz w:val="22"/>
                <w:szCs w:val="22"/>
              </w:rPr>
              <w:t xml:space="preserve">S1 Luonnontieteellinen tutkimus: </w:t>
            </w:r>
            <w:r w:rsidR="7CA9CD08" w:rsidRPr="00B300A5">
              <w:rPr>
                <w:rFonts w:ascii="Calibri" w:eastAsia="Calibri" w:hAnsi="Calibri" w:cs="Calibri"/>
                <w:color w:val="333333"/>
                <w:sz w:val="22"/>
                <w:szCs w:val="22"/>
              </w:rPr>
              <w:t>Turvallisen työskentelyn periaatteet ja perustyötaidot luovat pohjan kokeelliselle työskentelylle. Eri sisältöalueista ja oppilaiden mielenkiinnon kohteista valitaan sopivia aihepiirejä suljettuihin ja avoimiin tutkimuksiin. Erilaisissa tutkimuksissa painotetaan tarkoituksenmukaisesti tutkimusprosessin eri vaiheita kuten ongelman tai ilmiön pohtimista, suunnittelua, koejärjestelyn toteuttamista, havainnointia, tulosten koontia ja käsittelyä sekä tulosten arviointia ja esittämistä. Tutustutaan tieto- ja viestintäteknologian hyödyntämiseen tutkimusten eri vaiheissa.</w:t>
            </w:r>
          </w:p>
          <w:p w14:paraId="05F9A986" w14:textId="77777777" w:rsidR="00605BFC" w:rsidRPr="00605BFC" w:rsidRDefault="00605BFC" w:rsidP="00D8708C">
            <w:pPr>
              <w:numPr>
                <w:ilvl w:val="0"/>
                <w:numId w:val="1"/>
              </w:numPr>
              <w:tabs>
                <w:tab w:val="clear" w:pos="720"/>
              </w:tabs>
              <w:spacing w:line="240" w:lineRule="auto"/>
              <w:ind w:left="321" w:hanging="258"/>
              <w:contextualSpacing/>
              <w:rPr>
                <w:rFonts w:ascii="Calibri" w:eastAsia="Calibri" w:hAnsi="Calibri" w:cs="Calibri"/>
                <w:color w:val="333333"/>
                <w:sz w:val="22"/>
                <w:szCs w:val="22"/>
              </w:rPr>
            </w:pPr>
            <w:r w:rsidRPr="00605BFC">
              <w:rPr>
                <w:rFonts w:ascii="Calibri" w:eastAsia="Calibri" w:hAnsi="Calibri" w:cs="Calibri"/>
                <w:color w:val="333333"/>
                <w:sz w:val="22"/>
                <w:szCs w:val="22"/>
              </w:rPr>
              <w:t>Harjoitellaan tutkimuksen tekemistä, raportointia sekä työn arviointia</w:t>
            </w:r>
          </w:p>
          <w:p w14:paraId="432E2350" w14:textId="77777777" w:rsidR="001D5447" w:rsidRPr="00B300A5" w:rsidRDefault="001D5447" w:rsidP="00D8708C">
            <w:pPr>
              <w:spacing w:line="240" w:lineRule="auto"/>
              <w:contextualSpacing/>
              <w:rPr>
                <w:rFonts w:ascii="Calibri" w:eastAsia="Calibri" w:hAnsi="Calibri" w:cs="Calibri"/>
                <w:color w:val="333333"/>
                <w:sz w:val="22"/>
                <w:szCs w:val="22"/>
              </w:rPr>
            </w:pPr>
          </w:p>
          <w:p w14:paraId="19712D86" w14:textId="7903073C" w:rsidR="00FC4DA8" w:rsidRPr="00B300A5" w:rsidRDefault="7CA9CD08" w:rsidP="00D8708C">
            <w:pPr>
              <w:spacing w:line="240" w:lineRule="auto"/>
              <w:contextualSpacing/>
              <w:rPr>
                <w:rFonts w:ascii="Calibri" w:eastAsia="Calibri" w:hAnsi="Calibri" w:cs="Calibri"/>
                <w:color w:val="333333"/>
                <w:sz w:val="22"/>
                <w:szCs w:val="22"/>
              </w:rPr>
            </w:pPr>
            <w:r w:rsidRPr="00B300A5">
              <w:rPr>
                <w:rFonts w:ascii="Calibri" w:eastAsia="Calibri" w:hAnsi="Calibri" w:cs="Calibri"/>
                <w:b/>
                <w:bCs/>
                <w:color w:val="333333"/>
                <w:sz w:val="22"/>
                <w:szCs w:val="22"/>
              </w:rPr>
              <w:t xml:space="preserve">S3 Kemia yhteiskunnassa: </w:t>
            </w:r>
            <w:r w:rsidRPr="00B300A5">
              <w:rPr>
                <w:rFonts w:ascii="Calibri" w:eastAsia="Calibri" w:hAnsi="Calibri" w:cs="Calibri"/>
                <w:color w:val="333333"/>
                <w:sz w:val="22"/>
                <w:szCs w:val="22"/>
              </w:rPr>
              <w:t>Kemian ilmiöihin ja sovelluksiin liittyviä sisältöjä valitaan erityisesti ihmiskunnan hyvinvoinnin ja teknologian näkökulmista. Pääpaino on kestävässä luonnonvarojen käytössä, ja tuotteiden elinkaariajattelu on yhtenä tarkastelutapana. Tutustutaan erilaisiin koulutuspolkuihin ja ammatteihin, joissa tarvitaan kemian osaamista.</w:t>
            </w:r>
          </w:p>
          <w:p w14:paraId="3C0C2C3D" w14:textId="77777777" w:rsidR="00605BFC" w:rsidRPr="00605BFC" w:rsidRDefault="00605BFC" w:rsidP="00D8708C">
            <w:pPr>
              <w:numPr>
                <w:ilvl w:val="0"/>
                <w:numId w:val="2"/>
              </w:numPr>
              <w:tabs>
                <w:tab w:val="clear" w:pos="720"/>
              </w:tabs>
              <w:spacing w:line="240" w:lineRule="auto"/>
              <w:ind w:left="321" w:hanging="258"/>
              <w:contextualSpacing/>
              <w:rPr>
                <w:rFonts w:ascii="Calibri" w:eastAsia="Calibri" w:hAnsi="Calibri" w:cs="Calibri"/>
                <w:color w:val="333333"/>
                <w:sz w:val="22"/>
                <w:szCs w:val="22"/>
              </w:rPr>
            </w:pPr>
            <w:r w:rsidRPr="00605BFC">
              <w:rPr>
                <w:rFonts w:ascii="Calibri" w:eastAsia="Calibri" w:hAnsi="Calibri" w:cs="Calibri"/>
                <w:color w:val="333333"/>
                <w:sz w:val="22"/>
                <w:szCs w:val="22"/>
              </w:rPr>
              <w:t>Metallien ominaisuudet ja käyttö</w:t>
            </w:r>
          </w:p>
          <w:p w14:paraId="3A09EADD" w14:textId="77777777" w:rsidR="00605BFC" w:rsidRPr="00605BFC" w:rsidRDefault="00605BFC" w:rsidP="00D8708C">
            <w:pPr>
              <w:numPr>
                <w:ilvl w:val="0"/>
                <w:numId w:val="2"/>
              </w:numPr>
              <w:tabs>
                <w:tab w:val="clear" w:pos="720"/>
              </w:tabs>
              <w:spacing w:line="240" w:lineRule="auto"/>
              <w:ind w:left="321" w:hanging="258"/>
              <w:contextualSpacing/>
              <w:rPr>
                <w:rFonts w:ascii="Calibri" w:eastAsia="Calibri" w:hAnsi="Calibri" w:cs="Calibri"/>
                <w:color w:val="333333"/>
                <w:sz w:val="22"/>
                <w:szCs w:val="22"/>
              </w:rPr>
            </w:pPr>
            <w:r w:rsidRPr="00605BFC">
              <w:rPr>
                <w:rFonts w:ascii="Calibri" w:eastAsia="Calibri" w:hAnsi="Calibri" w:cs="Calibri"/>
                <w:color w:val="333333"/>
                <w:sz w:val="22"/>
                <w:szCs w:val="22"/>
              </w:rPr>
              <w:t>Valitaan kemian alan sisältöjä ihmiskunnan hyvinvoinnin ja teknologian näkökulmasta, esimerkiksi kierrätys, tuotteiden elinkaari, sähkökemia, orgaaninen kemia</w:t>
            </w:r>
          </w:p>
          <w:p w14:paraId="2983FDCC" w14:textId="36912A1E" w:rsidR="00605BFC" w:rsidRPr="00605BFC" w:rsidRDefault="00605BFC" w:rsidP="00D8708C">
            <w:pPr>
              <w:numPr>
                <w:ilvl w:val="0"/>
                <w:numId w:val="2"/>
              </w:numPr>
              <w:tabs>
                <w:tab w:val="clear" w:pos="720"/>
              </w:tabs>
              <w:spacing w:line="240" w:lineRule="auto"/>
              <w:ind w:left="321" w:hanging="258"/>
              <w:contextualSpacing/>
              <w:rPr>
                <w:rFonts w:ascii="Calibri" w:eastAsia="Calibri" w:hAnsi="Calibri" w:cs="Calibri"/>
                <w:color w:val="333333"/>
                <w:sz w:val="22"/>
                <w:szCs w:val="22"/>
              </w:rPr>
            </w:pPr>
            <w:r w:rsidRPr="00605BFC">
              <w:rPr>
                <w:rFonts w:ascii="Calibri" w:eastAsia="Calibri" w:hAnsi="Calibri" w:cs="Calibri"/>
                <w:color w:val="333333"/>
                <w:sz w:val="22"/>
                <w:szCs w:val="22"/>
              </w:rPr>
              <w:t>Pyritään järjestämään FY/K</w:t>
            </w:r>
            <w:r w:rsidR="00ED69B7">
              <w:rPr>
                <w:rFonts w:ascii="Calibri" w:eastAsia="Calibri" w:hAnsi="Calibri" w:cs="Calibri"/>
                <w:color w:val="333333"/>
                <w:sz w:val="22"/>
                <w:szCs w:val="22"/>
              </w:rPr>
              <w:t>E</w:t>
            </w:r>
            <w:r w:rsidRPr="00605BFC">
              <w:rPr>
                <w:rFonts w:ascii="Calibri" w:eastAsia="Calibri" w:hAnsi="Calibri" w:cs="Calibri"/>
                <w:color w:val="333333"/>
                <w:sz w:val="22"/>
                <w:szCs w:val="22"/>
              </w:rPr>
              <w:t xml:space="preserve"> opintovierailu 8. tai 9. luokkaisille</w:t>
            </w:r>
          </w:p>
          <w:p w14:paraId="19F3E332" w14:textId="77777777" w:rsidR="001D5447" w:rsidRPr="00B300A5" w:rsidRDefault="001D5447" w:rsidP="00D8708C">
            <w:pPr>
              <w:spacing w:line="240" w:lineRule="auto"/>
              <w:contextualSpacing/>
              <w:rPr>
                <w:rFonts w:ascii="Calibri" w:eastAsia="Calibri" w:hAnsi="Calibri" w:cs="Calibri"/>
                <w:color w:val="333333"/>
                <w:sz w:val="22"/>
                <w:szCs w:val="22"/>
              </w:rPr>
            </w:pPr>
          </w:p>
          <w:p w14:paraId="19F2D6F9" w14:textId="7EC16226" w:rsidR="00FC4DA8" w:rsidRPr="00B300A5" w:rsidRDefault="7CA9CD08" w:rsidP="00D8708C">
            <w:pPr>
              <w:spacing w:line="240" w:lineRule="auto"/>
              <w:contextualSpacing/>
              <w:rPr>
                <w:rFonts w:ascii="Calibri" w:eastAsia="Calibri" w:hAnsi="Calibri" w:cs="Calibri"/>
                <w:color w:val="333333"/>
                <w:sz w:val="22"/>
                <w:szCs w:val="22"/>
              </w:rPr>
            </w:pPr>
            <w:r w:rsidRPr="00B300A5">
              <w:rPr>
                <w:rFonts w:ascii="Calibri" w:eastAsia="Calibri" w:hAnsi="Calibri" w:cs="Calibri"/>
                <w:b/>
                <w:bCs/>
                <w:color w:val="333333"/>
                <w:sz w:val="22"/>
                <w:szCs w:val="22"/>
              </w:rPr>
              <w:t>S5 Aineiden ominaisuudet ja rakenne:</w:t>
            </w:r>
            <w:r w:rsidR="001D5447" w:rsidRPr="00B300A5">
              <w:rPr>
                <w:rFonts w:ascii="Calibri" w:eastAsia="Calibri" w:hAnsi="Calibri" w:cs="Calibri"/>
                <w:b/>
                <w:bCs/>
                <w:color w:val="333333"/>
                <w:sz w:val="22"/>
                <w:szCs w:val="22"/>
              </w:rPr>
              <w:t xml:space="preserve"> </w:t>
            </w:r>
            <w:r w:rsidRPr="00B300A5">
              <w:rPr>
                <w:rFonts w:ascii="Calibri" w:eastAsia="Calibri" w:hAnsi="Calibri" w:cs="Calibri"/>
                <w:color w:val="333333"/>
                <w:sz w:val="22"/>
                <w:szCs w:val="22"/>
              </w:rPr>
              <w:t>Tutkitaan monipuolisesti seosten ja puhtaiden aineiden ominaisuuksia kuten vesi- ja rasvaliukoisuutta. Alkuaineiden ominaisuuksien pohjalta tutustutaan aineen koostumiseen atomeista, atomin rakenteeseen ja jaksolliseen järjestelmään. Malleja ja simulaatioita käytetään yhdisteiden rakentumisen hahmottamisessa. Tutustutaan hiileen, sen yhdisteisiin ja ravintoaineisiin. Perehdytään johonkin orgaaniseen yhdisteryhmään.</w:t>
            </w:r>
          </w:p>
          <w:p w14:paraId="5E9B264E" w14:textId="77777777" w:rsidR="00B300A5" w:rsidRPr="00B300A5" w:rsidRDefault="00B300A5" w:rsidP="00D8708C">
            <w:pPr>
              <w:numPr>
                <w:ilvl w:val="0"/>
                <w:numId w:val="3"/>
              </w:numPr>
              <w:tabs>
                <w:tab w:val="clear" w:pos="720"/>
              </w:tabs>
              <w:spacing w:line="240" w:lineRule="auto"/>
              <w:ind w:left="321" w:hanging="258"/>
              <w:contextualSpacing/>
              <w:rPr>
                <w:rFonts w:ascii="Calibri" w:eastAsia="Calibri" w:hAnsi="Calibri" w:cs="Calibri"/>
                <w:color w:val="333333"/>
                <w:sz w:val="22"/>
                <w:szCs w:val="22"/>
              </w:rPr>
            </w:pPr>
            <w:r w:rsidRPr="00B300A5">
              <w:rPr>
                <w:rFonts w:ascii="Calibri" w:eastAsia="Calibri" w:hAnsi="Calibri" w:cs="Calibri"/>
                <w:color w:val="333333"/>
                <w:sz w:val="22"/>
                <w:szCs w:val="22"/>
              </w:rPr>
              <w:t>Atomin rakenne</w:t>
            </w:r>
          </w:p>
          <w:p w14:paraId="011979A2" w14:textId="77777777" w:rsidR="00B300A5" w:rsidRPr="00B300A5" w:rsidRDefault="00B300A5" w:rsidP="00D8708C">
            <w:pPr>
              <w:numPr>
                <w:ilvl w:val="0"/>
                <w:numId w:val="3"/>
              </w:numPr>
              <w:tabs>
                <w:tab w:val="clear" w:pos="720"/>
              </w:tabs>
              <w:spacing w:line="240" w:lineRule="auto"/>
              <w:ind w:left="321" w:hanging="258"/>
              <w:contextualSpacing/>
              <w:rPr>
                <w:rFonts w:ascii="Calibri" w:eastAsia="Calibri" w:hAnsi="Calibri" w:cs="Calibri"/>
                <w:color w:val="333333"/>
                <w:sz w:val="22"/>
                <w:szCs w:val="22"/>
              </w:rPr>
            </w:pPr>
            <w:r w:rsidRPr="00B300A5">
              <w:rPr>
                <w:rFonts w:ascii="Calibri" w:eastAsia="Calibri" w:hAnsi="Calibri" w:cs="Calibri"/>
                <w:color w:val="333333"/>
                <w:sz w:val="22"/>
                <w:szCs w:val="22"/>
              </w:rPr>
              <w:t>Jaksollinen järjestelmä</w:t>
            </w:r>
          </w:p>
          <w:p w14:paraId="495BE74F" w14:textId="77777777" w:rsidR="00B300A5" w:rsidRPr="00B300A5" w:rsidRDefault="00B300A5" w:rsidP="00D8708C">
            <w:pPr>
              <w:numPr>
                <w:ilvl w:val="0"/>
                <w:numId w:val="3"/>
              </w:numPr>
              <w:tabs>
                <w:tab w:val="clear" w:pos="720"/>
              </w:tabs>
              <w:spacing w:line="240" w:lineRule="auto"/>
              <w:ind w:left="321" w:hanging="258"/>
              <w:contextualSpacing/>
              <w:rPr>
                <w:rFonts w:ascii="Calibri" w:eastAsia="Calibri" w:hAnsi="Calibri" w:cs="Calibri"/>
                <w:color w:val="333333"/>
                <w:sz w:val="22"/>
                <w:szCs w:val="22"/>
              </w:rPr>
            </w:pPr>
            <w:r w:rsidRPr="00B300A5">
              <w:rPr>
                <w:rFonts w:ascii="Calibri" w:eastAsia="Calibri" w:hAnsi="Calibri" w:cs="Calibri"/>
                <w:color w:val="333333"/>
                <w:sz w:val="22"/>
                <w:szCs w:val="22"/>
              </w:rPr>
              <w:t>Metallisidos, ionisidos ja kovalenttinen sidos</w:t>
            </w:r>
          </w:p>
          <w:p w14:paraId="65C5A906" w14:textId="77777777" w:rsidR="00B300A5" w:rsidRPr="00B300A5" w:rsidRDefault="00B300A5" w:rsidP="00D8708C">
            <w:pPr>
              <w:numPr>
                <w:ilvl w:val="0"/>
                <w:numId w:val="3"/>
              </w:numPr>
              <w:tabs>
                <w:tab w:val="clear" w:pos="720"/>
              </w:tabs>
              <w:spacing w:line="240" w:lineRule="auto"/>
              <w:ind w:left="321" w:hanging="258"/>
              <w:contextualSpacing/>
              <w:rPr>
                <w:rFonts w:ascii="Calibri" w:eastAsia="Calibri" w:hAnsi="Calibri" w:cs="Calibri"/>
                <w:color w:val="333333"/>
                <w:sz w:val="22"/>
                <w:szCs w:val="22"/>
              </w:rPr>
            </w:pPr>
            <w:r w:rsidRPr="00B300A5">
              <w:rPr>
                <w:rFonts w:ascii="Calibri" w:eastAsia="Calibri" w:hAnsi="Calibri" w:cs="Calibri"/>
                <w:color w:val="333333"/>
                <w:sz w:val="22"/>
                <w:szCs w:val="22"/>
              </w:rPr>
              <w:t>Ioni- ja molekyyliyhdisteet</w:t>
            </w:r>
          </w:p>
          <w:p w14:paraId="416FF83A" w14:textId="77777777" w:rsidR="001D5447" w:rsidRPr="00B300A5" w:rsidRDefault="001D5447" w:rsidP="00D8708C">
            <w:pPr>
              <w:spacing w:line="240" w:lineRule="auto"/>
              <w:contextualSpacing/>
              <w:rPr>
                <w:rFonts w:ascii="Calibri" w:eastAsia="Calibri" w:hAnsi="Calibri" w:cs="Calibri"/>
                <w:color w:val="333333"/>
                <w:sz w:val="22"/>
                <w:szCs w:val="22"/>
              </w:rPr>
            </w:pPr>
          </w:p>
          <w:p w14:paraId="373019F0" w14:textId="77777777" w:rsidR="00FC4DA8" w:rsidRPr="00B300A5" w:rsidRDefault="7CA9CD08" w:rsidP="00D8708C">
            <w:pPr>
              <w:spacing w:line="240" w:lineRule="auto"/>
              <w:contextualSpacing/>
              <w:rPr>
                <w:rFonts w:ascii="Calibri" w:eastAsia="Calibri" w:hAnsi="Calibri" w:cs="Calibri"/>
                <w:color w:val="333333"/>
                <w:sz w:val="22"/>
                <w:szCs w:val="22"/>
              </w:rPr>
            </w:pPr>
            <w:r w:rsidRPr="00B300A5">
              <w:rPr>
                <w:rFonts w:ascii="Calibri" w:eastAsia="Calibri" w:hAnsi="Calibri" w:cs="Calibri"/>
                <w:b/>
                <w:bCs/>
                <w:color w:val="333333"/>
                <w:sz w:val="22"/>
                <w:szCs w:val="22"/>
              </w:rPr>
              <w:t>S6 Aineiden ominaisuudet ja muutokset:</w:t>
            </w:r>
            <w:r w:rsidR="001D5447" w:rsidRPr="00B300A5">
              <w:rPr>
                <w:rFonts w:ascii="Calibri" w:eastAsia="Calibri" w:hAnsi="Calibri" w:cs="Calibri"/>
                <w:b/>
                <w:bCs/>
                <w:color w:val="333333"/>
                <w:sz w:val="22"/>
                <w:szCs w:val="22"/>
              </w:rPr>
              <w:t xml:space="preserve"> </w:t>
            </w:r>
            <w:r w:rsidRPr="00B300A5">
              <w:rPr>
                <w:rFonts w:ascii="Calibri" w:eastAsia="Calibri" w:hAnsi="Calibri" w:cs="Calibri"/>
                <w:color w:val="333333"/>
                <w:sz w:val="22"/>
                <w:szCs w:val="22"/>
              </w:rPr>
              <w:t>Tutustutaan energian ja aineiden muuttumiseen kemiallisissa reaktioissa. Havainnoidaan reaktionnopeutta ja pohditaan siihen vaikuttavia tekijöitä. Perehdytään hiilen kiertokulkuun ja sen merkitykseen elämälle. Tutustutaan pitoisuuteen ja happamuuteen arkisten esimerkkien yhteydessä. Harjoitellaan kemian merkkikielen ja yksinkertaisten reaktioyhtälöiden tulkitsemista</w:t>
            </w:r>
            <w:r w:rsidR="62F09381" w:rsidRPr="00B300A5">
              <w:rPr>
                <w:rFonts w:ascii="Calibri" w:eastAsia="Calibri" w:hAnsi="Calibri" w:cs="Calibri"/>
                <w:color w:val="333333"/>
                <w:sz w:val="22"/>
                <w:szCs w:val="22"/>
              </w:rPr>
              <w:t>.</w:t>
            </w:r>
          </w:p>
          <w:p w14:paraId="5305B8F6" w14:textId="77777777" w:rsidR="00B300A5" w:rsidRPr="00B300A5" w:rsidRDefault="00B300A5" w:rsidP="00D8708C">
            <w:pPr>
              <w:numPr>
                <w:ilvl w:val="0"/>
                <w:numId w:val="4"/>
              </w:numPr>
              <w:tabs>
                <w:tab w:val="clear" w:pos="720"/>
              </w:tabs>
              <w:spacing w:line="240" w:lineRule="auto"/>
              <w:ind w:left="321" w:hanging="284"/>
              <w:contextualSpacing/>
              <w:rPr>
                <w:rFonts w:ascii="Calibri" w:eastAsia="Calibri" w:hAnsi="Calibri" w:cs="Calibri"/>
                <w:color w:val="333333"/>
                <w:sz w:val="22"/>
                <w:szCs w:val="22"/>
              </w:rPr>
            </w:pPr>
            <w:r w:rsidRPr="00B300A5">
              <w:rPr>
                <w:rFonts w:ascii="Calibri" w:eastAsia="Calibri" w:hAnsi="Calibri" w:cs="Calibri"/>
                <w:color w:val="333333"/>
                <w:sz w:val="22"/>
                <w:szCs w:val="22"/>
              </w:rPr>
              <w:t>Hapot, emäkset ja suolanmuodostus</w:t>
            </w:r>
          </w:p>
          <w:p w14:paraId="6CD304DC" w14:textId="13F84994" w:rsidR="001D5447" w:rsidRPr="00B300A5" w:rsidRDefault="00B300A5" w:rsidP="00D8708C">
            <w:pPr>
              <w:numPr>
                <w:ilvl w:val="0"/>
                <w:numId w:val="4"/>
              </w:numPr>
              <w:tabs>
                <w:tab w:val="clear" w:pos="720"/>
              </w:tabs>
              <w:spacing w:line="240" w:lineRule="auto"/>
              <w:ind w:left="321" w:hanging="284"/>
              <w:contextualSpacing/>
              <w:rPr>
                <w:rFonts w:ascii="Calibri" w:eastAsia="Calibri" w:hAnsi="Calibri" w:cs="Calibri"/>
                <w:color w:val="333333"/>
                <w:sz w:val="22"/>
                <w:szCs w:val="22"/>
              </w:rPr>
            </w:pPr>
            <w:r w:rsidRPr="00B300A5">
              <w:rPr>
                <w:rFonts w:ascii="Calibri" w:eastAsia="Calibri" w:hAnsi="Calibri" w:cs="Calibri"/>
                <w:color w:val="333333"/>
                <w:sz w:val="22"/>
                <w:szCs w:val="22"/>
              </w:rPr>
              <w:t>Reaktioyhtälö</w:t>
            </w:r>
          </w:p>
        </w:tc>
      </w:tr>
      <w:tr w:rsidR="00FC4DA8" w:rsidRPr="007467E0" w14:paraId="6D229240" w14:textId="77777777" w:rsidTr="21DB725F">
        <w:trPr>
          <w:trHeight w:val="284"/>
        </w:trPr>
        <w:tc>
          <w:tcPr>
            <w:tcW w:w="5000" w:type="pct"/>
            <w:gridSpan w:val="6"/>
            <w:shd w:val="clear" w:color="auto" w:fill="FFF2CC" w:themeFill="accent4" w:themeFillTint="33"/>
            <w:tcMar>
              <w:top w:w="100" w:type="dxa"/>
              <w:left w:w="100" w:type="dxa"/>
              <w:bottom w:w="100" w:type="dxa"/>
              <w:right w:w="100" w:type="dxa"/>
            </w:tcMar>
          </w:tcPr>
          <w:p w14:paraId="60890B9A" w14:textId="77777777" w:rsidR="00FC4DA8" w:rsidRDefault="00AB5F77" w:rsidP="00D8708C">
            <w:pPr>
              <w:spacing w:after="0" w:line="240" w:lineRule="auto"/>
              <w:ind w:left="40"/>
              <w:contextualSpacing/>
              <w:rPr>
                <w:bCs/>
                <w:sz w:val="22"/>
                <w:szCs w:val="22"/>
              </w:rPr>
            </w:pPr>
            <w:r w:rsidRPr="21DB725F">
              <w:rPr>
                <w:sz w:val="22"/>
                <w:szCs w:val="22"/>
              </w:rPr>
              <w:t>Tavoitteissa painotetaan työskentelyä. Sisällöt valitaan oppilaan tarpeiden mukaan.</w:t>
            </w:r>
          </w:p>
          <w:p w14:paraId="7FE0F934" w14:textId="77777777" w:rsidR="00CA6327" w:rsidRDefault="292567B4" w:rsidP="21DB725F">
            <w:pPr>
              <w:spacing w:after="0" w:line="240" w:lineRule="auto"/>
              <w:ind w:left="40"/>
              <w:contextualSpacing/>
              <w:rPr>
                <w:sz w:val="22"/>
                <w:szCs w:val="22"/>
              </w:rPr>
            </w:pPr>
            <w:r w:rsidRPr="21DB725F">
              <w:rPr>
                <w:rFonts w:ascii="Calibri" w:eastAsia="Calibri" w:hAnsi="Calibri" w:cs="Calibri"/>
                <w:color w:val="000000" w:themeColor="text1"/>
                <w:sz w:val="22"/>
                <w:szCs w:val="22"/>
              </w:rPr>
              <w:t>OPH:n tukimateriaali päättöarviointiin:</w:t>
            </w:r>
            <w:r w:rsidRPr="21DB725F">
              <w:rPr>
                <w:rFonts w:ascii="Calibri" w:eastAsia="Calibri" w:hAnsi="Calibri" w:cs="Calibri"/>
                <w:sz w:val="22"/>
                <w:szCs w:val="22"/>
              </w:rPr>
              <w:t xml:space="preserve"> </w:t>
            </w:r>
            <w:hyperlink r:id="rId11">
              <w:r w:rsidR="007467E0" w:rsidRPr="21DB725F">
                <w:rPr>
                  <w:rStyle w:val="Hyperlinkki"/>
                  <w:sz w:val="22"/>
                  <w:szCs w:val="22"/>
                </w:rPr>
                <w:t>https://www.oph.fi/fi/koulutus-ja-tutkinnot/kemian-paattoarviointi</w:t>
              </w:r>
            </w:hyperlink>
            <w:r w:rsidR="00CA6327" w:rsidRPr="21DB725F">
              <w:rPr>
                <w:sz w:val="22"/>
                <w:szCs w:val="22"/>
              </w:rPr>
              <w:t xml:space="preserve"> </w:t>
            </w:r>
          </w:p>
          <w:p w14:paraId="6B02FFF7" w14:textId="5D2EBEBA" w:rsidR="00A341C2" w:rsidRPr="007467E0" w:rsidRDefault="00A341C2" w:rsidP="21DB725F">
            <w:pPr>
              <w:spacing w:after="0" w:line="240" w:lineRule="auto"/>
              <w:ind w:left="40"/>
              <w:contextualSpacing/>
              <w:rPr>
                <w:sz w:val="22"/>
                <w:szCs w:val="22"/>
              </w:rPr>
            </w:pPr>
            <w:r w:rsidRPr="00A341C2">
              <w:rPr>
                <w:sz w:val="22"/>
                <w:szCs w:val="22"/>
              </w:rPr>
              <w:t xml:space="preserve">Tavoitteet T4, T8 ja T9 arvioidaan ainoastaan vuosiluokalla 8 Jyväskylän </w:t>
            </w:r>
            <w:proofErr w:type="spellStart"/>
            <w:r w:rsidRPr="00A341C2">
              <w:rPr>
                <w:sz w:val="22"/>
                <w:szCs w:val="22"/>
              </w:rPr>
              <w:t>vuosiluokkaistamisten</w:t>
            </w:r>
            <w:proofErr w:type="spellEnd"/>
            <w:r w:rsidRPr="00A341C2">
              <w:rPr>
                <w:sz w:val="22"/>
                <w:szCs w:val="22"/>
              </w:rPr>
              <w:t xml:space="preserve"> mukaisesti. </w:t>
            </w:r>
          </w:p>
        </w:tc>
      </w:tr>
      <w:tr w:rsidR="00FC4DA8" w:rsidRPr="00B300A5" w14:paraId="788A947A" w14:textId="1EA3CBE7" w:rsidTr="21DB725F">
        <w:trPr>
          <w:trHeight w:val="284"/>
        </w:trPr>
        <w:tc>
          <w:tcPr>
            <w:tcW w:w="921" w:type="pct"/>
            <w:shd w:val="clear" w:color="auto" w:fill="B4C6E7" w:themeFill="accent1" w:themeFillTint="66"/>
            <w:tcMar>
              <w:top w:w="100" w:type="dxa"/>
              <w:left w:w="100" w:type="dxa"/>
              <w:bottom w:w="100" w:type="dxa"/>
              <w:right w:w="100" w:type="dxa"/>
            </w:tcMar>
          </w:tcPr>
          <w:p w14:paraId="5350AC50" w14:textId="77777777" w:rsidR="00FC4DA8" w:rsidRPr="00B300A5" w:rsidRDefault="00FC4DA8" w:rsidP="00D8708C">
            <w:pPr>
              <w:spacing w:after="0" w:line="240" w:lineRule="auto"/>
              <w:ind w:left="40"/>
              <w:contextualSpacing/>
              <w:rPr>
                <w:b/>
                <w:sz w:val="22"/>
                <w:szCs w:val="22"/>
              </w:rPr>
            </w:pPr>
            <w:r w:rsidRPr="00B300A5">
              <w:rPr>
                <w:b/>
                <w:sz w:val="22"/>
                <w:szCs w:val="22"/>
              </w:rPr>
              <w:t>Opetuksen tavoite</w:t>
            </w:r>
          </w:p>
          <w:p w14:paraId="58EF4B1C" w14:textId="77777777" w:rsidR="00FC4DA8" w:rsidRPr="00B300A5" w:rsidRDefault="00FC4DA8" w:rsidP="00D8708C">
            <w:pPr>
              <w:spacing w:after="0" w:line="240" w:lineRule="auto"/>
              <w:ind w:left="40"/>
              <w:contextualSpacing/>
              <w:rPr>
                <w:b/>
                <w:sz w:val="22"/>
                <w:szCs w:val="22"/>
              </w:rPr>
            </w:pPr>
          </w:p>
        </w:tc>
        <w:tc>
          <w:tcPr>
            <w:tcW w:w="321" w:type="pct"/>
            <w:shd w:val="clear" w:color="auto" w:fill="B4C6E7" w:themeFill="accent1" w:themeFillTint="66"/>
            <w:tcMar>
              <w:top w:w="100" w:type="dxa"/>
              <w:left w:w="100" w:type="dxa"/>
              <w:bottom w:w="100" w:type="dxa"/>
              <w:right w:w="100" w:type="dxa"/>
            </w:tcMar>
          </w:tcPr>
          <w:p w14:paraId="6F21470A" w14:textId="4B5FE607" w:rsidR="00FC4DA8" w:rsidRPr="00B300A5" w:rsidRDefault="00FC4DA8" w:rsidP="00D8708C">
            <w:pPr>
              <w:spacing w:after="0" w:line="240" w:lineRule="auto"/>
              <w:ind w:left="40"/>
              <w:contextualSpacing/>
              <w:rPr>
                <w:b/>
                <w:sz w:val="22"/>
                <w:szCs w:val="22"/>
              </w:rPr>
            </w:pPr>
            <w:r w:rsidRPr="00B300A5">
              <w:rPr>
                <w:b/>
                <w:sz w:val="22"/>
                <w:szCs w:val="22"/>
              </w:rPr>
              <w:t>Sisältö</w:t>
            </w:r>
            <w:r w:rsidR="001D5447" w:rsidRPr="00B300A5">
              <w:rPr>
                <w:b/>
                <w:sz w:val="22"/>
                <w:szCs w:val="22"/>
              </w:rPr>
              <w:t>-</w:t>
            </w:r>
            <w:r w:rsidRPr="00B300A5">
              <w:rPr>
                <w:b/>
                <w:sz w:val="22"/>
                <w:szCs w:val="22"/>
              </w:rPr>
              <w:t>alueet</w:t>
            </w:r>
          </w:p>
        </w:tc>
        <w:tc>
          <w:tcPr>
            <w:tcW w:w="938" w:type="pct"/>
            <w:shd w:val="clear" w:color="auto" w:fill="B4C6E7" w:themeFill="accent1" w:themeFillTint="66"/>
            <w:tcMar>
              <w:top w:w="100" w:type="dxa"/>
              <w:left w:w="100" w:type="dxa"/>
              <w:bottom w:w="100" w:type="dxa"/>
              <w:right w:w="100" w:type="dxa"/>
            </w:tcMar>
          </w:tcPr>
          <w:p w14:paraId="6AAF2A9D" w14:textId="77777777" w:rsidR="00FC4DA8" w:rsidRPr="00B300A5" w:rsidRDefault="00FC4DA8" w:rsidP="00D8708C">
            <w:pPr>
              <w:spacing w:after="0" w:line="240" w:lineRule="auto"/>
              <w:ind w:left="40"/>
              <w:contextualSpacing/>
              <w:rPr>
                <w:b/>
                <w:sz w:val="22"/>
                <w:szCs w:val="22"/>
              </w:rPr>
            </w:pPr>
            <w:r w:rsidRPr="00B300A5">
              <w:rPr>
                <w:b/>
                <w:sz w:val="22"/>
                <w:szCs w:val="22"/>
              </w:rPr>
              <w:t>Opetuksen tavoitteista johdetut oppimisen tavoitteet</w:t>
            </w:r>
          </w:p>
        </w:tc>
        <w:tc>
          <w:tcPr>
            <w:tcW w:w="759" w:type="pct"/>
            <w:shd w:val="clear" w:color="auto" w:fill="B4C6E7" w:themeFill="accent1" w:themeFillTint="66"/>
            <w:tcMar>
              <w:top w:w="100" w:type="dxa"/>
              <w:left w:w="100" w:type="dxa"/>
              <w:bottom w:w="100" w:type="dxa"/>
              <w:right w:w="100" w:type="dxa"/>
            </w:tcMar>
          </w:tcPr>
          <w:p w14:paraId="5D02BD19" w14:textId="77777777" w:rsidR="00FC4DA8" w:rsidRPr="00B300A5" w:rsidRDefault="00FC4DA8" w:rsidP="00D8708C">
            <w:pPr>
              <w:spacing w:after="0" w:line="240" w:lineRule="auto"/>
              <w:ind w:left="40"/>
              <w:contextualSpacing/>
              <w:rPr>
                <w:b/>
                <w:sz w:val="22"/>
                <w:szCs w:val="22"/>
              </w:rPr>
            </w:pPr>
            <w:r w:rsidRPr="00B300A5">
              <w:rPr>
                <w:b/>
                <w:sz w:val="22"/>
                <w:szCs w:val="22"/>
              </w:rPr>
              <w:t xml:space="preserve">Arvioinnin kohde </w:t>
            </w:r>
          </w:p>
        </w:tc>
        <w:tc>
          <w:tcPr>
            <w:tcW w:w="883" w:type="pct"/>
            <w:shd w:val="clear" w:color="auto" w:fill="B4C6E7" w:themeFill="accent1" w:themeFillTint="66"/>
            <w:tcMar>
              <w:top w:w="100" w:type="dxa"/>
              <w:left w:w="100" w:type="dxa"/>
              <w:bottom w:w="100" w:type="dxa"/>
              <w:right w:w="100" w:type="dxa"/>
            </w:tcMar>
          </w:tcPr>
          <w:p w14:paraId="4D1D4FC8" w14:textId="77777777" w:rsidR="00FC4DA8" w:rsidRPr="00B300A5" w:rsidRDefault="00FC4DA8" w:rsidP="00D8708C">
            <w:pPr>
              <w:spacing w:after="0" w:line="240" w:lineRule="auto"/>
              <w:ind w:left="40"/>
              <w:contextualSpacing/>
              <w:rPr>
                <w:b/>
                <w:sz w:val="22"/>
                <w:szCs w:val="22"/>
              </w:rPr>
            </w:pPr>
            <w:r w:rsidRPr="00B300A5">
              <w:rPr>
                <w:b/>
                <w:sz w:val="22"/>
                <w:szCs w:val="22"/>
              </w:rPr>
              <w:t>Osaamisen kuvaus arvosanalle 5</w:t>
            </w:r>
          </w:p>
        </w:tc>
        <w:tc>
          <w:tcPr>
            <w:tcW w:w="1179" w:type="pct"/>
            <w:shd w:val="clear" w:color="auto" w:fill="B4C6E7" w:themeFill="accent1" w:themeFillTint="66"/>
          </w:tcPr>
          <w:p w14:paraId="0CD21917" w14:textId="1FCEBF98" w:rsidR="00FC4DA8" w:rsidRPr="00B300A5" w:rsidRDefault="00FC4DA8" w:rsidP="00D8708C">
            <w:pPr>
              <w:spacing w:after="0" w:line="240" w:lineRule="auto"/>
              <w:ind w:left="40"/>
              <w:contextualSpacing/>
              <w:rPr>
                <w:b/>
                <w:sz w:val="22"/>
                <w:szCs w:val="22"/>
              </w:rPr>
            </w:pPr>
            <w:r w:rsidRPr="00B300A5">
              <w:rPr>
                <w:b/>
                <w:sz w:val="22"/>
                <w:szCs w:val="22"/>
              </w:rPr>
              <w:t>Käytännönläheisiä esimerkkejä</w:t>
            </w:r>
          </w:p>
        </w:tc>
      </w:tr>
      <w:tr w:rsidR="00FC4DA8" w:rsidRPr="00B300A5" w14:paraId="403E81B8" w14:textId="7319355C" w:rsidTr="21DB725F">
        <w:trPr>
          <w:trHeight w:val="284"/>
        </w:trPr>
        <w:tc>
          <w:tcPr>
            <w:tcW w:w="921" w:type="pct"/>
            <w:tcMar>
              <w:top w:w="100" w:type="dxa"/>
              <w:left w:w="100" w:type="dxa"/>
              <w:bottom w:w="100" w:type="dxa"/>
              <w:right w:w="100" w:type="dxa"/>
            </w:tcMar>
          </w:tcPr>
          <w:p w14:paraId="776F10F1" w14:textId="77777777" w:rsidR="00FC4DA8" w:rsidRPr="00B300A5" w:rsidRDefault="00FC4DA8" w:rsidP="00D8708C">
            <w:pPr>
              <w:spacing w:after="0" w:line="240" w:lineRule="auto"/>
              <w:ind w:left="40"/>
              <w:contextualSpacing/>
              <w:rPr>
                <w:sz w:val="22"/>
                <w:szCs w:val="22"/>
              </w:rPr>
            </w:pPr>
            <w:r w:rsidRPr="00B300A5">
              <w:rPr>
                <w:sz w:val="22"/>
                <w:szCs w:val="22"/>
              </w:rPr>
              <w:lastRenderedPageBreak/>
              <w:t>T1 kannustaa ja innostaa oppilasta kemian opiskeluun</w:t>
            </w:r>
          </w:p>
        </w:tc>
        <w:tc>
          <w:tcPr>
            <w:tcW w:w="321" w:type="pct"/>
            <w:tcMar>
              <w:top w:w="100" w:type="dxa"/>
              <w:left w:w="100" w:type="dxa"/>
              <w:bottom w:w="100" w:type="dxa"/>
              <w:right w:w="100" w:type="dxa"/>
            </w:tcMar>
          </w:tcPr>
          <w:p w14:paraId="7AE9DADE" w14:textId="77777777" w:rsidR="00FC4DA8" w:rsidRPr="00B300A5" w:rsidRDefault="00FC4DA8" w:rsidP="00D8708C">
            <w:pPr>
              <w:spacing w:after="0" w:line="240" w:lineRule="auto"/>
              <w:ind w:left="40"/>
              <w:contextualSpacing/>
              <w:rPr>
                <w:sz w:val="22"/>
                <w:szCs w:val="22"/>
              </w:rPr>
            </w:pPr>
            <w:r w:rsidRPr="00B300A5">
              <w:rPr>
                <w:sz w:val="22"/>
                <w:szCs w:val="22"/>
              </w:rPr>
              <w:t>S1–S6</w:t>
            </w:r>
          </w:p>
          <w:p w14:paraId="787E7772" w14:textId="77777777" w:rsidR="00FC4DA8" w:rsidRPr="00B300A5" w:rsidRDefault="00FC4DA8" w:rsidP="00D8708C">
            <w:pPr>
              <w:spacing w:after="0" w:line="240" w:lineRule="auto"/>
              <w:contextualSpacing/>
              <w:rPr>
                <w:sz w:val="22"/>
                <w:szCs w:val="22"/>
              </w:rPr>
            </w:pPr>
          </w:p>
        </w:tc>
        <w:tc>
          <w:tcPr>
            <w:tcW w:w="938" w:type="pct"/>
            <w:tcMar>
              <w:top w:w="100" w:type="dxa"/>
              <w:left w:w="100" w:type="dxa"/>
              <w:bottom w:w="100" w:type="dxa"/>
              <w:right w:w="100" w:type="dxa"/>
            </w:tcMar>
          </w:tcPr>
          <w:p w14:paraId="26B959E9" w14:textId="77777777" w:rsidR="00FC4DA8" w:rsidRPr="00B300A5" w:rsidRDefault="00FC4DA8" w:rsidP="00D8708C">
            <w:pPr>
              <w:spacing w:after="0" w:line="240" w:lineRule="auto"/>
              <w:contextualSpacing/>
              <w:rPr>
                <w:sz w:val="22"/>
                <w:szCs w:val="22"/>
              </w:rPr>
            </w:pPr>
            <w:r w:rsidRPr="00B300A5">
              <w:rPr>
                <w:sz w:val="22"/>
                <w:szCs w:val="22"/>
              </w:rPr>
              <w:t>Oppilas kokee kemian opiskelun mielekkääksi.</w:t>
            </w:r>
          </w:p>
        </w:tc>
        <w:tc>
          <w:tcPr>
            <w:tcW w:w="759" w:type="pct"/>
            <w:tcMar>
              <w:top w:w="100" w:type="dxa"/>
              <w:left w:w="100" w:type="dxa"/>
              <w:bottom w:w="100" w:type="dxa"/>
              <w:right w:w="100" w:type="dxa"/>
            </w:tcMar>
          </w:tcPr>
          <w:p w14:paraId="2FBAFF1C" w14:textId="77777777" w:rsidR="00FC4DA8" w:rsidRPr="00B300A5" w:rsidRDefault="00FC4DA8" w:rsidP="00D8708C">
            <w:pPr>
              <w:spacing w:after="0" w:line="240" w:lineRule="auto"/>
              <w:contextualSpacing/>
              <w:rPr>
                <w:sz w:val="22"/>
                <w:szCs w:val="22"/>
              </w:rPr>
            </w:pPr>
          </w:p>
        </w:tc>
        <w:tc>
          <w:tcPr>
            <w:tcW w:w="883" w:type="pct"/>
            <w:tcMar>
              <w:top w:w="100" w:type="dxa"/>
              <w:left w:w="100" w:type="dxa"/>
              <w:bottom w:w="100" w:type="dxa"/>
              <w:right w:w="100" w:type="dxa"/>
            </w:tcMar>
          </w:tcPr>
          <w:p w14:paraId="33D9A93E" w14:textId="77777777" w:rsidR="00FC4DA8" w:rsidRPr="00B300A5" w:rsidRDefault="00FC4DA8" w:rsidP="00D8708C">
            <w:pPr>
              <w:spacing w:after="0" w:line="240" w:lineRule="auto"/>
              <w:contextualSpacing/>
              <w:rPr>
                <w:sz w:val="22"/>
                <w:szCs w:val="22"/>
              </w:rPr>
            </w:pPr>
            <w:r w:rsidRPr="00B300A5">
              <w:rPr>
                <w:i/>
                <w:sz w:val="22"/>
                <w:szCs w:val="22"/>
              </w:rPr>
              <w:t>Ei käytetä arvosanan muodostamisen perusteena. Oppilasta ohjataan pohtimaan kokemuksiaan kemian opiskelusta osana oman oppimisensa arviointia.</w:t>
            </w:r>
          </w:p>
        </w:tc>
        <w:tc>
          <w:tcPr>
            <w:tcW w:w="1179" w:type="pct"/>
          </w:tcPr>
          <w:p w14:paraId="2920F87E" w14:textId="6BE05DE6" w:rsidR="00FC4DA8" w:rsidRPr="00E36A8D" w:rsidRDefault="00E36A8D" w:rsidP="00D8708C">
            <w:pPr>
              <w:spacing w:after="0" w:line="240" w:lineRule="auto"/>
              <w:contextualSpacing/>
              <w:rPr>
                <w:iCs/>
                <w:sz w:val="22"/>
                <w:szCs w:val="22"/>
              </w:rPr>
            </w:pPr>
            <w:proofErr w:type="spellStart"/>
            <w:r>
              <w:rPr>
                <w:iCs/>
                <w:sz w:val="22"/>
                <w:szCs w:val="22"/>
              </w:rPr>
              <w:t>Huom</w:t>
            </w:r>
            <w:proofErr w:type="spellEnd"/>
            <w:r>
              <w:rPr>
                <w:iCs/>
                <w:sz w:val="22"/>
                <w:szCs w:val="22"/>
              </w:rPr>
              <w:t>! Itsearvio.</w:t>
            </w:r>
          </w:p>
        </w:tc>
      </w:tr>
      <w:tr w:rsidR="00FC4DA8" w:rsidRPr="00B300A5" w14:paraId="30967293" w14:textId="70E9CD2A" w:rsidTr="21DB725F">
        <w:trPr>
          <w:trHeight w:val="284"/>
        </w:trPr>
        <w:tc>
          <w:tcPr>
            <w:tcW w:w="921" w:type="pct"/>
            <w:tcMar>
              <w:top w:w="100" w:type="dxa"/>
              <w:left w:w="100" w:type="dxa"/>
              <w:bottom w:w="100" w:type="dxa"/>
              <w:right w:w="100" w:type="dxa"/>
            </w:tcMar>
          </w:tcPr>
          <w:p w14:paraId="390353A6" w14:textId="77777777" w:rsidR="00FC4DA8" w:rsidRPr="00B300A5" w:rsidRDefault="00FC4DA8" w:rsidP="00D8708C">
            <w:pPr>
              <w:spacing w:after="0" w:line="240" w:lineRule="auto"/>
              <w:ind w:left="40"/>
              <w:contextualSpacing/>
              <w:rPr>
                <w:sz w:val="22"/>
                <w:szCs w:val="22"/>
              </w:rPr>
            </w:pPr>
            <w:r w:rsidRPr="00B300A5">
              <w:rPr>
                <w:sz w:val="22"/>
                <w:szCs w:val="22"/>
              </w:rPr>
              <w:t>T2 ohjata ja kannustaa oppilasta tunnistamaan omaa kemian osaamistaan, asettamaan tavoitteita omalle työskentelylleen sekä työskentelemään pitkäjänteisesti</w:t>
            </w:r>
          </w:p>
        </w:tc>
        <w:tc>
          <w:tcPr>
            <w:tcW w:w="321" w:type="pct"/>
            <w:tcMar>
              <w:top w:w="100" w:type="dxa"/>
              <w:left w:w="100" w:type="dxa"/>
              <w:bottom w:w="100" w:type="dxa"/>
              <w:right w:w="100" w:type="dxa"/>
            </w:tcMar>
          </w:tcPr>
          <w:p w14:paraId="4FACDF0C"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35F59DBC" w14:textId="77777777" w:rsidR="00FC4DA8" w:rsidRPr="00B300A5" w:rsidRDefault="00FC4DA8" w:rsidP="00D8708C">
            <w:pPr>
              <w:spacing w:after="0" w:line="240" w:lineRule="auto"/>
              <w:ind w:left="40"/>
              <w:contextualSpacing/>
              <w:rPr>
                <w:sz w:val="22"/>
                <w:szCs w:val="22"/>
              </w:rPr>
            </w:pPr>
            <w:r w:rsidRPr="00B300A5">
              <w:rPr>
                <w:sz w:val="22"/>
                <w:szCs w:val="22"/>
              </w:rPr>
              <w:t>Oppilas arvioi omaa kemian osaamistaan, asettaa tavoitteita omalle työskentelylleen sekä työskentelee pitkäjänteisesti.</w:t>
            </w:r>
          </w:p>
        </w:tc>
        <w:tc>
          <w:tcPr>
            <w:tcW w:w="759" w:type="pct"/>
            <w:tcMar>
              <w:top w:w="100" w:type="dxa"/>
              <w:left w:w="100" w:type="dxa"/>
              <w:bottom w:w="100" w:type="dxa"/>
              <w:right w:w="100" w:type="dxa"/>
            </w:tcMar>
          </w:tcPr>
          <w:p w14:paraId="2AB10EFD" w14:textId="77777777" w:rsidR="00FC4DA8" w:rsidRPr="00B300A5" w:rsidRDefault="00FC4DA8" w:rsidP="00D8708C">
            <w:pPr>
              <w:spacing w:after="0" w:line="240" w:lineRule="auto"/>
              <w:ind w:left="40"/>
              <w:contextualSpacing/>
              <w:rPr>
                <w:sz w:val="22"/>
                <w:szCs w:val="22"/>
              </w:rPr>
            </w:pPr>
          </w:p>
        </w:tc>
        <w:tc>
          <w:tcPr>
            <w:tcW w:w="883" w:type="pct"/>
            <w:tcMar>
              <w:top w:w="100" w:type="dxa"/>
              <w:left w:w="100" w:type="dxa"/>
              <w:bottom w:w="100" w:type="dxa"/>
              <w:right w:w="100" w:type="dxa"/>
            </w:tcMar>
          </w:tcPr>
          <w:p w14:paraId="6598C3A5" w14:textId="77777777" w:rsidR="00FC4DA8" w:rsidRPr="00B300A5" w:rsidRDefault="00FC4DA8" w:rsidP="00D8708C">
            <w:pPr>
              <w:spacing w:after="0" w:line="240" w:lineRule="auto"/>
              <w:contextualSpacing/>
              <w:rPr>
                <w:sz w:val="22"/>
                <w:szCs w:val="22"/>
              </w:rPr>
            </w:pPr>
            <w:r w:rsidRPr="00B300A5">
              <w:rPr>
                <w:i/>
                <w:sz w:val="22"/>
                <w:szCs w:val="22"/>
              </w:rPr>
              <w:t>Ei käytetä arvosanan muodostamisen perusteena. Oppilasta ohjataan pohtimaan kokemuksiaan kemian opiskelusta osana oman oppimisensa arviointia.</w:t>
            </w:r>
          </w:p>
        </w:tc>
        <w:tc>
          <w:tcPr>
            <w:tcW w:w="1179" w:type="pct"/>
          </w:tcPr>
          <w:p w14:paraId="5470CAD4" w14:textId="2741BDA0" w:rsidR="00FC4DA8" w:rsidRPr="00E36A8D" w:rsidRDefault="00E36A8D" w:rsidP="00D8708C">
            <w:pPr>
              <w:spacing w:after="0" w:line="240" w:lineRule="auto"/>
              <w:contextualSpacing/>
              <w:rPr>
                <w:iCs/>
                <w:sz w:val="22"/>
                <w:szCs w:val="22"/>
              </w:rPr>
            </w:pPr>
            <w:proofErr w:type="spellStart"/>
            <w:r>
              <w:rPr>
                <w:iCs/>
                <w:sz w:val="22"/>
                <w:szCs w:val="22"/>
              </w:rPr>
              <w:t>Huom</w:t>
            </w:r>
            <w:proofErr w:type="spellEnd"/>
            <w:r>
              <w:rPr>
                <w:iCs/>
                <w:sz w:val="22"/>
                <w:szCs w:val="22"/>
              </w:rPr>
              <w:t>! Itsearvio.</w:t>
            </w:r>
          </w:p>
        </w:tc>
      </w:tr>
      <w:tr w:rsidR="00FC4DA8" w:rsidRPr="00B300A5" w14:paraId="1A270131" w14:textId="2375E324" w:rsidTr="21DB725F">
        <w:trPr>
          <w:trHeight w:val="284"/>
        </w:trPr>
        <w:tc>
          <w:tcPr>
            <w:tcW w:w="921" w:type="pct"/>
            <w:tcMar>
              <w:top w:w="100" w:type="dxa"/>
              <w:left w:w="100" w:type="dxa"/>
              <w:bottom w:w="100" w:type="dxa"/>
              <w:right w:w="100" w:type="dxa"/>
            </w:tcMar>
          </w:tcPr>
          <w:p w14:paraId="2B9EA78F" w14:textId="77777777" w:rsidR="00FC4DA8" w:rsidRPr="00B300A5" w:rsidRDefault="00FC4DA8" w:rsidP="00D8708C">
            <w:pPr>
              <w:spacing w:after="0" w:line="240" w:lineRule="auto"/>
              <w:ind w:left="40"/>
              <w:contextualSpacing/>
              <w:rPr>
                <w:sz w:val="22"/>
                <w:szCs w:val="22"/>
              </w:rPr>
            </w:pPr>
            <w:r w:rsidRPr="00B300A5">
              <w:rPr>
                <w:sz w:val="22"/>
                <w:szCs w:val="22"/>
              </w:rPr>
              <w:t>T4 ohjata oppilasta käyttämään kemian osaamistaan kestävän tulevaisuuden rakentamisessa sekä arvioimaan omia valintojaan luonnonvarojen kestävän käytön ja tuotteen elinkaaren kannalta</w:t>
            </w:r>
          </w:p>
        </w:tc>
        <w:tc>
          <w:tcPr>
            <w:tcW w:w="321" w:type="pct"/>
            <w:tcMar>
              <w:top w:w="100" w:type="dxa"/>
              <w:left w:w="100" w:type="dxa"/>
              <w:bottom w:w="100" w:type="dxa"/>
              <w:right w:w="100" w:type="dxa"/>
            </w:tcMar>
          </w:tcPr>
          <w:p w14:paraId="008EDB1D"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0378A9ED" w14:textId="77777777" w:rsidR="00FC4DA8" w:rsidRPr="00B300A5" w:rsidRDefault="00FC4DA8" w:rsidP="00D8708C">
            <w:pPr>
              <w:spacing w:after="0" w:line="240" w:lineRule="auto"/>
              <w:ind w:left="40"/>
              <w:contextualSpacing/>
              <w:rPr>
                <w:sz w:val="22"/>
                <w:szCs w:val="22"/>
              </w:rPr>
            </w:pPr>
            <w:r w:rsidRPr="00B300A5">
              <w:rPr>
                <w:sz w:val="22"/>
                <w:szCs w:val="22"/>
              </w:rPr>
              <w:t>Oppilas ymmärtää kemian merkityksen kestävän tulevaisuuden rakentamisessa sekä arvioi omia valintojaan luonnonvarojen kestävän käytön ja tuotteen elinkaaren kannalta.</w:t>
            </w:r>
          </w:p>
        </w:tc>
        <w:tc>
          <w:tcPr>
            <w:tcW w:w="759" w:type="pct"/>
            <w:tcMar>
              <w:top w:w="100" w:type="dxa"/>
              <w:left w:w="100" w:type="dxa"/>
              <w:bottom w:w="100" w:type="dxa"/>
              <w:right w:w="100" w:type="dxa"/>
            </w:tcMar>
          </w:tcPr>
          <w:p w14:paraId="471B9A07" w14:textId="77777777" w:rsidR="00FC4DA8" w:rsidRPr="00B300A5" w:rsidRDefault="00FC4DA8" w:rsidP="00D8708C">
            <w:pPr>
              <w:spacing w:after="0" w:line="240" w:lineRule="auto"/>
              <w:ind w:left="40"/>
              <w:contextualSpacing/>
              <w:rPr>
                <w:sz w:val="22"/>
                <w:szCs w:val="22"/>
              </w:rPr>
            </w:pPr>
            <w:r w:rsidRPr="00B300A5">
              <w:rPr>
                <w:sz w:val="22"/>
                <w:szCs w:val="22"/>
              </w:rPr>
              <w:t>Kestävän kehityksen tiedot ja taidot kemian kannalta</w:t>
            </w:r>
          </w:p>
        </w:tc>
        <w:tc>
          <w:tcPr>
            <w:tcW w:w="883" w:type="pct"/>
            <w:tcMar>
              <w:top w:w="100" w:type="dxa"/>
              <w:left w:w="100" w:type="dxa"/>
              <w:bottom w:w="100" w:type="dxa"/>
              <w:right w:w="100" w:type="dxa"/>
            </w:tcMar>
          </w:tcPr>
          <w:p w14:paraId="08F0D4F9" w14:textId="77777777" w:rsidR="00FC4DA8" w:rsidRPr="00B300A5" w:rsidRDefault="00FC4DA8" w:rsidP="00D8708C">
            <w:pPr>
              <w:spacing w:after="0" w:line="240" w:lineRule="auto"/>
              <w:contextualSpacing/>
              <w:rPr>
                <w:sz w:val="22"/>
                <w:szCs w:val="22"/>
              </w:rPr>
            </w:pPr>
            <w:r w:rsidRPr="00B300A5">
              <w:rPr>
                <w:sz w:val="22"/>
                <w:szCs w:val="22"/>
              </w:rPr>
              <w:t>Oppilas osaa antaa esimerkkejä omista valinnoistaan, joilla on merkitystä luonnonvarojen kestävän käytön ja tuotteen elinkaaren kannalta.</w:t>
            </w:r>
          </w:p>
        </w:tc>
        <w:tc>
          <w:tcPr>
            <w:tcW w:w="1179" w:type="pct"/>
          </w:tcPr>
          <w:p w14:paraId="7C97AF65" w14:textId="6E96EC20" w:rsidR="00FC4DA8" w:rsidRPr="00B300A5" w:rsidRDefault="00061748" w:rsidP="00070E44">
            <w:pPr>
              <w:spacing w:after="0" w:line="240" w:lineRule="auto"/>
              <w:contextualSpacing/>
              <w:rPr>
                <w:sz w:val="22"/>
                <w:szCs w:val="22"/>
              </w:rPr>
            </w:pPr>
            <w:r>
              <w:rPr>
                <w:sz w:val="22"/>
                <w:szCs w:val="22"/>
              </w:rPr>
              <w:t>Oppilas valitsee valmiista materiaalista tekoja, joita voi toteuttaa omassa elämässään. Esim. k</w:t>
            </w:r>
            <w:r w:rsidR="0038602C">
              <w:rPr>
                <w:sz w:val="22"/>
                <w:szCs w:val="22"/>
              </w:rPr>
              <w:t>ierrättäminen</w:t>
            </w:r>
            <w:r w:rsidR="00363AA8">
              <w:rPr>
                <w:sz w:val="22"/>
                <w:szCs w:val="22"/>
              </w:rPr>
              <w:t xml:space="preserve"> ja sen vaikutukset </w:t>
            </w:r>
            <w:r w:rsidR="00D955CE">
              <w:rPr>
                <w:sz w:val="22"/>
                <w:szCs w:val="22"/>
              </w:rPr>
              <w:t xml:space="preserve">tuotteen elinkaareen. </w:t>
            </w:r>
            <w:r w:rsidR="00070E44">
              <w:rPr>
                <w:sz w:val="22"/>
                <w:szCs w:val="22"/>
              </w:rPr>
              <w:t>Tai oppilaan omien tuotteiden säilyvyyden ja elinkaaren pohtiminen (kosmetiikka, elintarvikkeet, vaatteet).</w:t>
            </w:r>
          </w:p>
        </w:tc>
      </w:tr>
      <w:tr w:rsidR="00FC4DA8" w:rsidRPr="00B300A5" w14:paraId="36665478" w14:textId="2107FF6C" w:rsidTr="21DB725F">
        <w:trPr>
          <w:trHeight w:val="284"/>
        </w:trPr>
        <w:tc>
          <w:tcPr>
            <w:tcW w:w="921" w:type="pct"/>
            <w:tcMar>
              <w:top w:w="100" w:type="dxa"/>
              <w:left w:w="100" w:type="dxa"/>
              <w:bottom w:w="100" w:type="dxa"/>
              <w:right w:w="100" w:type="dxa"/>
            </w:tcMar>
          </w:tcPr>
          <w:p w14:paraId="2A35E6FD" w14:textId="77777777" w:rsidR="00FC4DA8" w:rsidRPr="00B300A5" w:rsidRDefault="00FC4DA8" w:rsidP="00D8708C">
            <w:pPr>
              <w:spacing w:after="0" w:line="240" w:lineRule="auto"/>
              <w:ind w:left="40"/>
              <w:contextualSpacing/>
              <w:rPr>
                <w:sz w:val="22"/>
                <w:szCs w:val="22"/>
              </w:rPr>
            </w:pPr>
            <w:r w:rsidRPr="00B300A5">
              <w:rPr>
                <w:sz w:val="22"/>
                <w:szCs w:val="22"/>
              </w:rPr>
              <w:t>T6 ohjata oppilasta toteuttamaan kokeellisia tutkimuksia yhteistyössä muiden kanssa sekä työskentelemään johdonmukaisesti ja turvallisesti</w:t>
            </w:r>
          </w:p>
        </w:tc>
        <w:tc>
          <w:tcPr>
            <w:tcW w:w="321" w:type="pct"/>
            <w:tcMar>
              <w:top w:w="100" w:type="dxa"/>
              <w:left w:w="100" w:type="dxa"/>
              <w:bottom w:w="100" w:type="dxa"/>
              <w:right w:w="100" w:type="dxa"/>
            </w:tcMar>
          </w:tcPr>
          <w:p w14:paraId="70EB2F5B"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09849FC9" w14:textId="77777777" w:rsidR="00FC4DA8" w:rsidRPr="00B300A5" w:rsidRDefault="00FC4DA8" w:rsidP="00D8708C">
            <w:pPr>
              <w:spacing w:after="0" w:line="240" w:lineRule="auto"/>
              <w:contextualSpacing/>
              <w:rPr>
                <w:sz w:val="22"/>
                <w:szCs w:val="22"/>
              </w:rPr>
            </w:pPr>
            <w:r w:rsidRPr="00B300A5">
              <w:rPr>
                <w:sz w:val="22"/>
                <w:szCs w:val="22"/>
              </w:rPr>
              <w:t xml:space="preserve">Oppilas toteuttaa kokeellisia tutkimuksia yhteistyössä muiden kanssa. </w:t>
            </w:r>
          </w:p>
          <w:p w14:paraId="3FF2A0E2" w14:textId="77777777" w:rsidR="00FC4DA8" w:rsidRPr="00B300A5" w:rsidRDefault="00FC4DA8" w:rsidP="00D8708C">
            <w:pPr>
              <w:spacing w:after="0" w:line="240" w:lineRule="auto"/>
              <w:contextualSpacing/>
              <w:rPr>
                <w:sz w:val="22"/>
                <w:szCs w:val="22"/>
              </w:rPr>
            </w:pPr>
          </w:p>
          <w:p w14:paraId="5A12E726" w14:textId="77777777" w:rsidR="00FC4DA8" w:rsidRPr="00B300A5" w:rsidRDefault="00FC4DA8" w:rsidP="00D8708C">
            <w:pPr>
              <w:spacing w:after="0" w:line="240" w:lineRule="auto"/>
              <w:contextualSpacing/>
              <w:rPr>
                <w:sz w:val="22"/>
                <w:szCs w:val="22"/>
              </w:rPr>
            </w:pPr>
            <w:r w:rsidRPr="00B300A5">
              <w:rPr>
                <w:sz w:val="22"/>
                <w:szCs w:val="22"/>
              </w:rPr>
              <w:t>Oppilas työskentelee turvallisesti ja johdonmukaisesti.</w:t>
            </w:r>
          </w:p>
        </w:tc>
        <w:tc>
          <w:tcPr>
            <w:tcW w:w="759" w:type="pct"/>
            <w:tcMar>
              <w:top w:w="100" w:type="dxa"/>
              <w:left w:w="100" w:type="dxa"/>
              <w:bottom w:w="100" w:type="dxa"/>
              <w:right w:w="100" w:type="dxa"/>
            </w:tcMar>
          </w:tcPr>
          <w:p w14:paraId="223A8FF9" w14:textId="77777777" w:rsidR="00FC4DA8" w:rsidRPr="00B300A5" w:rsidRDefault="00FC4DA8" w:rsidP="00D8708C">
            <w:pPr>
              <w:spacing w:after="0" w:line="240" w:lineRule="auto"/>
              <w:ind w:left="40"/>
              <w:contextualSpacing/>
              <w:rPr>
                <w:sz w:val="22"/>
                <w:szCs w:val="22"/>
              </w:rPr>
            </w:pPr>
            <w:r w:rsidRPr="00B300A5">
              <w:rPr>
                <w:sz w:val="22"/>
                <w:szCs w:val="22"/>
              </w:rPr>
              <w:t>Kokeellisen tutkimuksen toteuttaminen</w:t>
            </w:r>
          </w:p>
        </w:tc>
        <w:tc>
          <w:tcPr>
            <w:tcW w:w="883" w:type="pct"/>
            <w:tcMar>
              <w:top w:w="100" w:type="dxa"/>
              <w:left w:w="100" w:type="dxa"/>
              <w:bottom w:w="100" w:type="dxa"/>
              <w:right w:w="100" w:type="dxa"/>
            </w:tcMar>
          </w:tcPr>
          <w:p w14:paraId="3BB1FDE7" w14:textId="77777777" w:rsidR="00FC4DA8" w:rsidRPr="00B300A5" w:rsidRDefault="00FC4DA8" w:rsidP="00D8708C">
            <w:pPr>
              <w:spacing w:after="0" w:line="240" w:lineRule="auto"/>
              <w:contextualSpacing/>
              <w:rPr>
                <w:sz w:val="22"/>
                <w:szCs w:val="22"/>
              </w:rPr>
            </w:pPr>
            <w:r w:rsidRPr="00B300A5">
              <w:rPr>
                <w:sz w:val="22"/>
                <w:szCs w:val="22"/>
              </w:rPr>
              <w:t>Oppilas osallistuu kokeelliseen työskentelyyn havainnoimalla tutkimusten toteuttamista työturvallisuusnäkökohdat huomioon ottaen ja pystyy kertomaan havainnoistaan.</w:t>
            </w:r>
          </w:p>
        </w:tc>
        <w:tc>
          <w:tcPr>
            <w:tcW w:w="1179" w:type="pct"/>
          </w:tcPr>
          <w:p w14:paraId="01379B66" w14:textId="77777777" w:rsidR="00FC4DA8" w:rsidRDefault="00064F4D" w:rsidP="00D8708C">
            <w:pPr>
              <w:spacing w:after="0" w:line="240" w:lineRule="auto"/>
              <w:contextualSpacing/>
              <w:rPr>
                <w:sz w:val="22"/>
                <w:szCs w:val="22"/>
              </w:rPr>
            </w:pPr>
            <w:r>
              <w:rPr>
                <w:sz w:val="22"/>
                <w:szCs w:val="22"/>
              </w:rPr>
              <w:t>Voi suorittaa myös kotiolosuhteissa. Jos ei mahdollisuutta osallistua oppitunnin kokeelliseen työskentelyyn, tavoite voidaan suorittaa esim. havainnoimalla videoituja tutkimuksia. Esim. oppimateriaalin videot eri aiheista tai internetistä löytyvät videot kokeellisista töistä.</w:t>
            </w:r>
          </w:p>
          <w:p w14:paraId="4EAF0A22" w14:textId="77777777" w:rsidR="005B2BAC" w:rsidRDefault="005B2BAC" w:rsidP="00D8708C">
            <w:pPr>
              <w:spacing w:after="0" w:line="240" w:lineRule="auto"/>
              <w:contextualSpacing/>
              <w:rPr>
                <w:sz w:val="22"/>
                <w:szCs w:val="22"/>
              </w:rPr>
            </w:pPr>
          </w:p>
          <w:p w14:paraId="4ADE9958" w14:textId="0C2D5698" w:rsidR="005B2BAC" w:rsidRPr="00B300A5" w:rsidRDefault="005B2BAC" w:rsidP="00D8708C">
            <w:pPr>
              <w:spacing w:after="0" w:line="240" w:lineRule="auto"/>
              <w:contextualSpacing/>
              <w:rPr>
                <w:sz w:val="22"/>
                <w:szCs w:val="22"/>
              </w:rPr>
            </w:pPr>
            <w:r>
              <w:rPr>
                <w:sz w:val="22"/>
                <w:szCs w:val="22"/>
              </w:rPr>
              <w:lastRenderedPageBreak/>
              <w:t>Jos oppilas osallistuu työskentelyyn, hän käyttää suojavarusteita. Hän osaa kertoa esim. suullisesti havainnoistaan opettajalle.</w:t>
            </w:r>
          </w:p>
        </w:tc>
      </w:tr>
      <w:tr w:rsidR="00FC4DA8" w:rsidRPr="00B300A5" w14:paraId="2DEF01DD" w14:textId="58AD9268" w:rsidTr="21DB725F">
        <w:trPr>
          <w:trHeight w:val="284"/>
        </w:trPr>
        <w:tc>
          <w:tcPr>
            <w:tcW w:w="921" w:type="pct"/>
            <w:tcMar>
              <w:top w:w="100" w:type="dxa"/>
              <w:left w:w="100" w:type="dxa"/>
              <w:bottom w:w="100" w:type="dxa"/>
              <w:right w:w="100" w:type="dxa"/>
            </w:tcMar>
          </w:tcPr>
          <w:p w14:paraId="0EC3595C" w14:textId="77777777" w:rsidR="00FC4DA8" w:rsidRPr="00B300A5" w:rsidRDefault="00FC4DA8" w:rsidP="00D8708C">
            <w:pPr>
              <w:spacing w:after="0" w:line="240" w:lineRule="auto"/>
              <w:ind w:left="40"/>
              <w:contextualSpacing/>
              <w:rPr>
                <w:sz w:val="22"/>
                <w:szCs w:val="22"/>
              </w:rPr>
            </w:pPr>
            <w:r w:rsidRPr="00B300A5">
              <w:rPr>
                <w:sz w:val="22"/>
                <w:szCs w:val="22"/>
              </w:rPr>
              <w:lastRenderedPageBreak/>
              <w:t>T7 ohjata oppilaita käsittelemään, tulkitsemaan ja esittämään omien tutkimustensa tuloksia sekä arvioimaan niitä ja koko tutkimusprosessia</w:t>
            </w:r>
          </w:p>
        </w:tc>
        <w:tc>
          <w:tcPr>
            <w:tcW w:w="321" w:type="pct"/>
            <w:tcMar>
              <w:top w:w="100" w:type="dxa"/>
              <w:left w:w="100" w:type="dxa"/>
              <w:bottom w:w="100" w:type="dxa"/>
              <w:right w:w="100" w:type="dxa"/>
            </w:tcMar>
          </w:tcPr>
          <w:p w14:paraId="7747E91F"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1CC74E23" w14:textId="77777777" w:rsidR="00FC4DA8" w:rsidRPr="00B300A5" w:rsidRDefault="00FC4DA8" w:rsidP="00D8708C">
            <w:pPr>
              <w:spacing w:after="0" w:line="240" w:lineRule="auto"/>
              <w:ind w:left="40"/>
              <w:contextualSpacing/>
              <w:rPr>
                <w:sz w:val="22"/>
                <w:szCs w:val="22"/>
              </w:rPr>
            </w:pPr>
            <w:r w:rsidRPr="00B300A5">
              <w:rPr>
                <w:sz w:val="22"/>
                <w:szCs w:val="22"/>
              </w:rPr>
              <w:t>Oppilas käsittelee ja analysoi tutkimustensa tuloksia sekä arvioi tutkimusprosessia.</w:t>
            </w:r>
          </w:p>
        </w:tc>
        <w:tc>
          <w:tcPr>
            <w:tcW w:w="759" w:type="pct"/>
            <w:tcMar>
              <w:top w:w="100" w:type="dxa"/>
              <w:left w:w="100" w:type="dxa"/>
              <w:bottom w:w="100" w:type="dxa"/>
              <w:right w:w="100" w:type="dxa"/>
            </w:tcMar>
          </w:tcPr>
          <w:p w14:paraId="250D6291" w14:textId="77777777" w:rsidR="00FC4DA8" w:rsidRPr="00B300A5" w:rsidRDefault="00FC4DA8" w:rsidP="00D8708C">
            <w:pPr>
              <w:spacing w:after="0" w:line="240" w:lineRule="auto"/>
              <w:ind w:left="40"/>
              <w:contextualSpacing/>
              <w:rPr>
                <w:sz w:val="22"/>
                <w:szCs w:val="22"/>
              </w:rPr>
            </w:pPr>
            <w:r w:rsidRPr="00B300A5">
              <w:rPr>
                <w:sz w:val="22"/>
                <w:szCs w:val="22"/>
              </w:rPr>
              <w:t>Tutkimusten tulosten käsittely, esittäminen ja arviointi</w:t>
            </w:r>
          </w:p>
        </w:tc>
        <w:tc>
          <w:tcPr>
            <w:tcW w:w="883" w:type="pct"/>
            <w:tcMar>
              <w:top w:w="100" w:type="dxa"/>
              <w:left w:w="100" w:type="dxa"/>
              <w:bottom w:w="100" w:type="dxa"/>
              <w:right w:w="100" w:type="dxa"/>
            </w:tcMar>
          </w:tcPr>
          <w:p w14:paraId="0D8B23F4" w14:textId="77777777" w:rsidR="00FC4DA8" w:rsidRPr="00B300A5" w:rsidRDefault="00FC4DA8" w:rsidP="00D8708C">
            <w:pPr>
              <w:spacing w:after="0" w:line="240" w:lineRule="auto"/>
              <w:contextualSpacing/>
              <w:rPr>
                <w:sz w:val="22"/>
                <w:szCs w:val="22"/>
              </w:rPr>
            </w:pPr>
            <w:r w:rsidRPr="00B300A5">
              <w:rPr>
                <w:sz w:val="22"/>
                <w:szCs w:val="22"/>
              </w:rPr>
              <w:t>Oppilas kuvailee tehtyä tutkimusta ja sen tuloksia tukeutumalla tutkimuksessa kerättyyn tietoon tai tehtyihin havaintoihin.</w:t>
            </w:r>
          </w:p>
        </w:tc>
        <w:tc>
          <w:tcPr>
            <w:tcW w:w="1179" w:type="pct"/>
          </w:tcPr>
          <w:p w14:paraId="15D6823D" w14:textId="325B9515" w:rsidR="00FC4DA8" w:rsidRPr="00B300A5" w:rsidRDefault="00DE02FF" w:rsidP="00D8708C">
            <w:pPr>
              <w:spacing w:after="0" w:line="240" w:lineRule="auto"/>
              <w:contextualSpacing/>
              <w:rPr>
                <w:sz w:val="22"/>
                <w:szCs w:val="22"/>
              </w:rPr>
            </w:pPr>
            <w:r>
              <w:rPr>
                <w:sz w:val="22"/>
                <w:szCs w:val="22"/>
              </w:rPr>
              <w:t xml:space="preserve">Oppilas </w:t>
            </w:r>
            <w:r w:rsidR="00254A06">
              <w:rPr>
                <w:sz w:val="22"/>
                <w:szCs w:val="22"/>
              </w:rPr>
              <w:t xml:space="preserve">kuvailee </w:t>
            </w:r>
            <w:r w:rsidR="00BE23BB">
              <w:rPr>
                <w:sz w:val="22"/>
                <w:szCs w:val="22"/>
              </w:rPr>
              <w:t>suullisesti tai kirjallisesti</w:t>
            </w:r>
            <w:r w:rsidR="002C0167">
              <w:rPr>
                <w:sz w:val="22"/>
                <w:szCs w:val="22"/>
              </w:rPr>
              <w:t xml:space="preserve"> </w:t>
            </w:r>
            <w:r w:rsidR="00254A06">
              <w:rPr>
                <w:sz w:val="22"/>
                <w:szCs w:val="22"/>
              </w:rPr>
              <w:t xml:space="preserve">esim. pH-tutkimusta ja </w:t>
            </w:r>
            <w:r w:rsidR="008367B2">
              <w:rPr>
                <w:sz w:val="22"/>
                <w:szCs w:val="22"/>
              </w:rPr>
              <w:t>päättelee</w:t>
            </w:r>
            <w:r w:rsidR="00254A06">
              <w:rPr>
                <w:sz w:val="22"/>
                <w:szCs w:val="22"/>
              </w:rPr>
              <w:t xml:space="preserve"> saaduista</w:t>
            </w:r>
            <w:r w:rsidR="008367B2">
              <w:rPr>
                <w:sz w:val="22"/>
                <w:szCs w:val="22"/>
              </w:rPr>
              <w:t xml:space="preserve"> tutkimustuloksista mitkä aineet ovat </w:t>
            </w:r>
            <w:r w:rsidR="008F1760">
              <w:rPr>
                <w:sz w:val="22"/>
                <w:szCs w:val="22"/>
              </w:rPr>
              <w:t xml:space="preserve">happamia. </w:t>
            </w:r>
            <w:r w:rsidR="00B07A06">
              <w:rPr>
                <w:sz w:val="22"/>
                <w:szCs w:val="22"/>
              </w:rPr>
              <w:t>Yhdistettävissä T6-kanssa</w:t>
            </w:r>
            <w:r w:rsidR="003F5B88">
              <w:rPr>
                <w:sz w:val="22"/>
                <w:szCs w:val="22"/>
              </w:rPr>
              <w:t>, havainnoimalla muiden tekemää tutkimusta</w:t>
            </w:r>
            <w:r w:rsidR="002354AD">
              <w:rPr>
                <w:sz w:val="22"/>
                <w:szCs w:val="22"/>
              </w:rPr>
              <w:t xml:space="preserve"> (esim. videolta).</w:t>
            </w:r>
          </w:p>
        </w:tc>
      </w:tr>
      <w:tr w:rsidR="00FC4DA8" w:rsidRPr="00B300A5" w14:paraId="719C5C59" w14:textId="614F2B8F" w:rsidTr="21DB725F">
        <w:trPr>
          <w:trHeight w:val="284"/>
        </w:trPr>
        <w:tc>
          <w:tcPr>
            <w:tcW w:w="921" w:type="pct"/>
            <w:tcMar>
              <w:top w:w="100" w:type="dxa"/>
              <w:left w:w="100" w:type="dxa"/>
              <w:bottom w:w="100" w:type="dxa"/>
              <w:right w:w="100" w:type="dxa"/>
            </w:tcMar>
          </w:tcPr>
          <w:p w14:paraId="452733EE" w14:textId="77777777" w:rsidR="00FC4DA8" w:rsidRPr="00B300A5" w:rsidRDefault="00FC4DA8" w:rsidP="00D8708C">
            <w:pPr>
              <w:spacing w:after="0" w:line="240" w:lineRule="auto"/>
              <w:ind w:left="40"/>
              <w:contextualSpacing/>
              <w:rPr>
                <w:sz w:val="22"/>
                <w:szCs w:val="22"/>
              </w:rPr>
            </w:pPr>
            <w:r w:rsidRPr="00B300A5">
              <w:rPr>
                <w:sz w:val="22"/>
                <w:szCs w:val="22"/>
              </w:rPr>
              <w:t>T8 ohjata oppilasta hahmottamaan kemian soveltamista teknologiassa sekä osallistumaan kemiaa soveltavien ratkaisujen ideointiin, suunnitteluun, kehittämiseen ja soveltamiseen yhteistyössä muiden kanssa</w:t>
            </w:r>
          </w:p>
        </w:tc>
        <w:tc>
          <w:tcPr>
            <w:tcW w:w="321" w:type="pct"/>
            <w:tcMar>
              <w:top w:w="100" w:type="dxa"/>
              <w:left w:w="100" w:type="dxa"/>
              <w:bottom w:w="100" w:type="dxa"/>
              <w:right w:w="100" w:type="dxa"/>
            </w:tcMar>
          </w:tcPr>
          <w:p w14:paraId="0C001797"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7A95C56F" w14:textId="77777777" w:rsidR="00FC4DA8" w:rsidRPr="00B300A5" w:rsidRDefault="00FC4DA8" w:rsidP="00D8708C">
            <w:pPr>
              <w:spacing w:after="0" w:line="240" w:lineRule="auto"/>
              <w:ind w:left="40"/>
              <w:contextualSpacing/>
              <w:rPr>
                <w:sz w:val="22"/>
                <w:szCs w:val="22"/>
              </w:rPr>
            </w:pPr>
            <w:r w:rsidRPr="00B300A5">
              <w:rPr>
                <w:sz w:val="22"/>
                <w:szCs w:val="22"/>
              </w:rPr>
              <w:t>Oppilas ymmärtää kemian soveltamista teknologiassa.</w:t>
            </w:r>
          </w:p>
          <w:p w14:paraId="5EC41B66" w14:textId="77777777" w:rsidR="00FC4DA8" w:rsidRPr="00B300A5" w:rsidRDefault="00FC4DA8" w:rsidP="00D8708C">
            <w:pPr>
              <w:spacing w:after="0" w:line="240" w:lineRule="auto"/>
              <w:ind w:left="40"/>
              <w:contextualSpacing/>
              <w:rPr>
                <w:sz w:val="22"/>
                <w:szCs w:val="22"/>
              </w:rPr>
            </w:pPr>
          </w:p>
          <w:p w14:paraId="78165BF2" w14:textId="50788995" w:rsidR="00FC4DA8" w:rsidRPr="00B300A5" w:rsidRDefault="00FC4DA8" w:rsidP="00D8708C">
            <w:pPr>
              <w:spacing w:after="0" w:line="240" w:lineRule="auto"/>
              <w:contextualSpacing/>
              <w:rPr>
                <w:sz w:val="22"/>
                <w:szCs w:val="22"/>
              </w:rPr>
            </w:pPr>
            <w:r w:rsidRPr="00B300A5">
              <w:rPr>
                <w:sz w:val="22"/>
                <w:szCs w:val="22"/>
              </w:rPr>
              <w:t>Oppilas kehittää ja soveltaa yksinkertaisia teknologisia ratkaisuja yhteistyössä muiden kanssa.</w:t>
            </w:r>
          </w:p>
        </w:tc>
        <w:tc>
          <w:tcPr>
            <w:tcW w:w="759" w:type="pct"/>
            <w:tcMar>
              <w:top w:w="100" w:type="dxa"/>
              <w:left w:w="100" w:type="dxa"/>
              <w:bottom w:w="100" w:type="dxa"/>
              <w:right w:w="100" w:type="dxa"/>
            </w:tcMar>
          </w:tcPr>
          <w:p w14:paraId="0CD23DD7" w14:textId="77777777" w:rsidR="00FC4DA8" w:rsidRPr="00B300A5" w:rsidRDefault="00FC4DA8" w:rsidP="00D8708C">
            <w:pPr>
              <w:spacing w:after="0" w:line="240" w:lineRule="auto"/>
              <w:ind w:left="40"/>
              <w:contextualSpacing/>
              <w:rPr>
                <w:sz w:val="22"/>
                <w:szCs w:val="22"/>
              </w:rPr>
            </w:pPr>
            <w:r w:rsidRPr="00B300A5">
              <w:rPr>
                <w:sz w:val="22"/>
                <w:szCs w:val="22"/>
              </w:rPr>
              <w:t>Teknologinen osaaminen ja yhteistyö teknologisessa ongelmanratkaisussa</w:t>
            </w:r>
          </w:p>
        </w:tc>
        <w:tc>
          <w:tcPr>
            <w:tcW w:w="883" w:type="pct"/>
            <w:tcMar>
              <w:top w:w="100" w:type="dxa"/>
              <w:left w:w="100" w:type="dxa"/>
              <w:bottom w:w="100" w:type="dxa"/>
              <w:right w:w="100" w:type="dxa"/>
            </w:tcMar>
          </w:tcPr>
          <w:p w14:paraId="789B1C5F" w14:textId="77777777" w:rsidR="00FC4DA8" w:rsidRPr="00B300A5" w:rsidRDefault="00FC4DA8" w:rsidP="00D8708C">
            <w:pPr>
              <w:spacing w:after="0" w:line="240" w:lineRule="auto"/>
              <w:contextualSpacing/>
              <w:rPr>
                <w:sz w:val="22"/>
                <w:szCs w:val="22"/>
              </w:rPr>
            </w:pPr>
            <w:r w:rsidRPr="00B300A5">
              <w:rPr>
                <w:sz w:val="22"/>
                <w:szCs w:val="22"/>
              </w:rPr>
              <w:t>Oppilas tunnistaa teknologisten sovellusten merkityksen omassa elämässään ja osaa nimetä niistä muutamia esimerkkejä, joissa on sovellettu kemiaa.</w:t>
            </w:r>
          </w:p>
        </w:tc>
        <w:tc>
          <w:tcPr>
            <w:tcW w:w="1179" w:type="pct"/>
          </w:tcPr>
          <w:p w14:paraId="75F42EA0" w14:textId="77777777" w:rsidR="00FC4DA8" w:rsidRDefault="00224077" w:rsidP="00D8708C">
            <w:pPr>
              <w:spacing w:after="0" w:line="240" w:lineRule="auto"/>
              <w:contextualSpacing/>
              <w:rPr>
                <w:sz w:val="22"/>
                <w:szCs w:val="22"/>
              </w:rPr>
            </w:pPr>
            <w:r>
              <w:rPr>
                <w:sz w:val="22"/>
                <w:szCs w:val="22"/>
              </w:rPr>
              <w:t>Nimeää</w:t>
            </w:r>
            <w:r w:rsidR="0080577B">
              <w:rPr>
                <w:sz w:val="22"/>
                <w:szCs w:val="22"/>
              </w:rPr>
              <w:t xml:space="preserve"> esimerkiksi aloja</w:t>
            </w:r>
            <w:r w:rsidRPr="00224077">
              <w:rPr>
                <w:sz w:val="22"/>
                <w:szCs w:val="22"/>
              </w:rPr>
              <w:t>, joilla sovelletaan kemian teknologiaa (elintarviketeollisuus, öljynjalostus, muoviteollisuus, bioteknologia jne.).</w:t>
            </w:r>
          </w:p>
          <w:p w14:paraId="253367A7" w14:textId="77777777" w:rsidR="0080577B" w:rsidRDefault="0080577B" w:rsidP="00D8708C">
            <w:pPr>
              <w:spacing w:after="0" w:line="240" w:lineRule="auto"/>
              <w:contextualSpacing/>
              <w:rPr>
                <w:sz w:val="22"/>
                <w:szCs w:val="22"/>
              </w:rPr>
            </w:pPr>
          </w:p>
          <w:p w14:paraId="3546FF24" w14:textId="1C68CCB7" w:rsidR="0080577B" w:rsidRPr="00B300A5" w:rsidRDefault="00095ABB" w:rsidP="00D8708C">
            <w:pPr>
              <w:spacing w:after="0" w:line="240" w:lineRule="auto"/>
              <w:contextualSpacing/>
              <w:rPr>
                <w:sz w:val="22"/>
                <w:szCs w:val="22"/>
              </w:rPr>
            </w:pPr>
            <w:r>
              <w:rPr>
                <w:sz w:val="22"/>
                <w:szCs w:val="22"/>
              </w:rPr>
              <w:t>Myös kännykän lataaminen.</w:t>
            </w:r>
          </w:p>
        </w:tc>
      </w:tr>
      <w:tr w:rsidR="00FC4DA8" w:rsidRPr="00B300A5" w14:paraId="47B8E4BE" w14:textId="7FB6DB05" w:rsidTr="21DB725F">
        <w:trPr>
          <w:trHeight w:val="284"/>
        </w:trPr>
        <w:tc>
          <w:tcPr>
            <w:tcW w:w="921" w:type="pct"/>
            <w:tcMar>
              <w:top w:w="100" w:type="dxa"/>
              <w:left w:w="100" w:type="dxa"/>
              <w:bottom w:w="100" w:type="dxa"/>
              <w:right w:w="100" w:type="dxa"/>
            </w:tcMar>
          </w:tcPr>
          <w:p w14:paraId="168FBBA5" w14:textId="77777777" w:rsidR="00FC4DA8" w:rsidRPr="00B300A5" w:rsidRDefault="00FC4DA8" w:rsidP="00D8708C">
            <w:pPr>
              <w:spacing w:after="0" w:line="240" w:lineRule="auto"/>
              <w:ind w:left="40"/>
              <w:contextualSpacing/>
              <w:rPr>
                <w:sz w:val="22"/>
                <w:szCs w:val="22"/>
              </w:rPr>
            </w:pPr>
            <w:r w:rsidRPr="00B300A5">
              <w:rPr>
                <w:sz w:val="22"/>
                <w:szCs w:val="22"/>
              </w:rPr>
              <w:t>T9 ohjata oppilasta käyttämään tieto- ja viestintäteknologiaa tiedon ja tutkimustulosten hankkimiseen, käsittelemiseen ja esittämiseen sekä tukea oppilaan oppimista havainnollistavien simulaatioiden avulla</w:t>
            </w:r>
          </w:p>
        </w:tc>
        <w:tc>
          <w:tcPr>
            <w:tcW w:w="321" w:type="pct"/>
            <w:tcMar>
              <w:top w:w="100" w:type="dxa"/>
              <w:left w:w="100" w:type="dxa"/>
              <w:bottom w:w="100" w:type="dxa"/>
              <w:right w:w="100" w:type="dxa"/>
            </w:tcMar>
          </w:tcPr>
          <w:p w14:paraId="231E5F6B"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5F3F415E" w14:textId="77777777" w:rsidR="00FC4DA8" w:rsidRPr="00B300A5" w:rsidRDefault="00FC4DA8" w:rsidP="00D8708C">
            <w:pPr>
              <w:spacing w:after="0" w:line="240" w:lineRule="auto"/>
              <w:ind w:left="40"/>
              <w:contextualSpacing/>
              <w:rPr>
                <w:sz w:val="22"/>
                <w:szCs w:val="22"/>
              </w:rPr>
            </w:pPr>
            <w:r w:rsidRPr="00B300A5">
              <w:rPr>
                <w:sz w:val="22"/>
                <w:szCs w:val="22"/>
              </w:rPr>
              <w:t>Oppilas käyttää tieto- ja viestintäteknologiaa sekä simulaatioita omassa oppimisessaan.</w:t>
            </w:r>
          </w:p>
        </w:tc>
        <w:tc>
          <w:tcPr>
            <w:tcW w:w="759" w:type="pct"/>
            <w:tcMar>
              <w:top w:w="100" w:type="dxa"/>
              <w:left w:w="100" w:type="dxa"/>
              <w:bottom w:w="100" w:type="dxa"/>
              <w:right w:w="100" w:type="dxa"/>
            </w:tcMar>
          </w:tcPr>
          <w:p w14:paraId="18BBA784" w14:textId="77777777" w:rsidR="00FC4DA8" w:rsidRPr="00B300A5" w:rsidRDefault="00FC4DA8" w:rsidP="00D8708C">
            <w:pPr>
              <w:spacing w:after="0" w:line="240" w:lineRule="auto"/>
              <w:ind w:left="40"/>
              <w:contextualSpacing/>
              <w:rPr>
                <w:sz w:val="22"/>
                <w:szCs w:val="22"/>
              </w:rPr>
            </w:pPr>
            <w:r w:rsidRPr="00B300A5">
              <w:rPr>
                <w:sz w:val="22"/>
                <w:szCs w:val="22"/>
              </w:rPr>
              <w:t>Tieto- ja viestintäteknologian käyttö</w:t>
            </w:r>
          </w:p>
        </w:tc>
        <w:tc>
          <w:tcPr>
            <w:tcW w:w="883" w:type="pct"/>
            <w:tcMar>
              <w:top w:w="100" w:type="dxa"/>
              <w:left w:w="100" w:type="dxa"/>
              <w:bottom w:w="100" w:type="dxa"/>
              <w:right w:w="100" w:type="dxa"/>
            </w:tcMar>
          </w:tcPr>
          <w:p w14:paraId="721629CC" w14:textId="77777777" w:rsidR="00FC4DA8" w:rsidRPr="00B300A5" w:rsidRDefault="00FC4DA8" w:rsidP="00D8708C">
            <w:pPr>
              <w:spacing w:after="0" w:line="240" w:lineRule="auto"/>
              <w:ind w:left="40"/>
              <w:contextualSpacing/>
              <w:rPr>
                <w:sz w:val="22"/>
                <w:szCs w:val="22"/>
              </w:rPr>
            </w:pPr>
            <w:r w:rsidRPr="00B300A5">
              <w:rPr>
                <w:sz w:val="22"/>
                <w:szCs w:val="22"/>
              </w:rPr>
              <w:t>Oppilas käyttää ohjatusti tieto- ja viestintäteknologiaa tiedon hankkimiseen.</w:t>
            </w:r>
          </w:p>
          <w:p w14:paraId="574E75D0" w14:textId="77777777" w:rsidR="00FC4DA8" w:rsidRPr="00B300A5" w:rsidRDefault="00FC4DA8" w:rsidP="00D8708C">
            <w:pPr>
              <w:spacing w:after="0" w:line="240" w:lineRule="auto"/>
              <w:ind w:left="40"/>
              <w:contextualSpacing/>
              <w:rPr>
                <w:sz w:val="22"/>
                <w:szCs w:val="22"/>
              </w:rPr>
            </w:pPr>
          </w:p>
          <w:p w14:paraId="780A8C65" w14:textId="77777777" w:rsidR="00FC4DA8" w:rsidRPr="00B300A5" w:rsidRDefault="00FC4DA8" w:rsidP="00D8708C">
            <w:pPr>
              <w:spacing w:after="0" w:line="240" w:lineRule="auto"/>
              <w:ind w:left="40"/>
              <w:contextualSpacing/>
              <w:rPr>
                <w:sz w:val="22"/>
                <w:szCs w:val="22"/>
              </w:rPr>
            </w:pPr>
            <w:r w:rsidRPr="00B300A5">
              <w:rPr>
                <w:sz w:val="22"/>
                <w:szCs w:val="22"/>
              </w:rPr>
              <w:t>Oppilas tutustuu johonkin oppimista tukevaan simulaatioon.</w:t>
            </w:r>
          </w:p>
        </w:tc>
        <w:tc>
          <w:tcPr>
            <w:tcW w:w="1179" w:type="pct"/>
          </w:tcPr>
          <w:p w14:paraId="2F5AD216" w14:textId="3D5C4F4E" w:rsidR="00FC4DA8" w:rsidRDefault="00FF65F3" w:rsidP="00D8708C">
            <w:pPr>
              <w:spacing w:after="0" w:line="240" w:lineRule="auto"/>
              <w:ind w:left="40"/>
              <w:contextualSpacing/>
              <w:rPr>
                <w:sz w:val="22"/>
                <w:szCs w:val="22"/>
              </w:rPr>
            </w:pPr>
            <w:r>
              <w:rPr>
                <w:sz w:val="22"/>
                <w:szCs w:val="22"/>
              </w:rPr>
              <w:t>Integrointimahdollisuus TVT</w:t>
            </w:r>
            <w:r w:rsidR="009D1BB1">
              <w:rPr>
                <w:sz w:val="22"/>
                <w:szCs w:val="22"/>
              </w:rPr>
              <w:t>:n</w:t>
            </w:r>
            <w:r>
              <w:rPr>
                <w:sz w:val="22"/>
                <w:szCs w:val="22"/>
              </w:rPr>
              <w:t xml:space="preserve"> kanssa. </w:t>
            </w:r>
          </w:p>
          <w:p w14:paraId="3F1A8D77" w14:textId="77777777" w:rsidR="00AE45CD" w:rsidRDefault="00AE45CD" w:rsidP="00D8708C">
            <w:pPr>
              <w:spacing w:after="0" w:line="240" w:lineRule="auto"/>
              <w:ind w:left="40"/>
              <w:contextualSpacing/>
              <w:rPr>
                <w:sz w:val="22"/>
                <w:szCs w:val="22"/>
              </w:rPr>
            </w:pPr>
          </w:p>
          <w:p w14:paraId="24FD51F1" w14:textId="2FD112F6" w:rsidR="00E164FD" w:rsidRPr="00B300A5" w:rsidRDefault="009605A5" w:rsidP="009D1BB1">
            <w:pPr>
              <w:spacing w:after="0" w:line="240" w:lineRule="auto"/>
              <w:ind w:left="40"/>
              <w:contextualSpacing/>
              <w:rPr>
                <w:sz w:val="22"/>
                <w:szCs w:val="22"/>
              </w:rPr>
            </w:pPr>
            <w:proofErr w:type="spellStart"/>
            <w:r>
              <w:rPr>
                <w:sz w:val="22"/>
                <w:szCs w:val="22"/>
              </w:rPr>
              <w:t>PhE</w:t>
            </w:r>
            <w:r w:rsidR="00AE45CD">
              <w:rPr>
                <w:sz w:val="22"/>
                <w:szCs w:val="22"/>
              </w:rPr>
              <w:t>t</w:t>
            </w:r>
            <w:proofErr w:type="spellEnd"/>
            <w:r w:rsidR="00AE45CD">
              <w:rPr>
                <w:sz w:val="22"/>
                <w:szCs w:val="22"/>
              </w:rPr>
              <w:t>-simulaatio</w:t>
            </w:r>
            <w:r w:rsidR="009D1BB1">
              <w:rPr>
                <w:sz w:val="22"/>
                <w:szCs w:val="22"/>
              </w:rPr>
              <w:t>n hyödyntäminen</w:t>
            </w:r>
            <w:r w:rsidR="00AE45CD">
              <w:rPr>
                <w:sz w:val="22"/>
                <w:szCs w:val="22"/>
              </w:rPr>
              <w:t>.</w:t>
            </w:r>
            <w:r w:rsidR="009D1BB1">
              <w:rPr>
                <w:sz w:val="22"/>
                <w:szCs w:val="22"/>
              </w:rPr>
              <w:t xml:space="preserve"> </w:t>
            </w:r>
            <w:r w:rsidR="00E164FD" w:rsidRPr="00E164FD">
              <w:rPr>
                <w:sz w:val="22"/>
                <w:szCs w:val="22"/>
              </w:rPr>
              <w:t>Oppilas käyttää simulaatiota ohjaavien kysymysten avulla ja vastaa siitä esitettyihin kysymyksiin.</w:t>
            </w:r>
          </w:p>
        </w:tc>
      </w:tr>
      <w:tr w:rsidR="00FC4DA8" w:rsidRPr="00B300A5" w14:paraId="2A798C85" w14:textId="253D5F99" w:rsidTr="21DB725F">
        <w:trPr>
          <w:trHeight w:val="284"/>
        </w:trPr>
        <w:tc>
          <w:tcPr>
            <w:tcW w:w="921" w:type="pct"/>
            <w:tcMar>
              <w:top w:w="100" w:type="dxa"/>
              <w:left w:w="100" w:type="dxa"/>
              <w:bottom w:w="100" w:type="dxa"/>
              <w:right w:w="100" w:type="dxa"/>
            </w:tcMar>
          </w:tcPr>
          <w:p w14:paraId="1B2C3627" w14:textId="77777777" w:rsidR="00FC4DA8" w:rsidRPr="00B300A5" w:rsidRDefault="00FC4DA8" w:rsidP="00D8708C">
            <w:pPr>
              <w:spacing w:after="0" w:line="240" w:lineRule="auto"/>
              <w:ind w:left="40"/>
              <w:contextualSpacing/>
              <w:rPr>
                <w:sz w:val="22"/>
                <w:szCs w:val="22"/>
              </w:rPr>
            </w:pPr>
            <w:r w:rsidRPr="00B300A5">
              <w:rPr>
                <w:sz w:val="22"/>
                <w:szCs w:val="22"/>
              </w:rPr>
              <w:t xml:space="preserve">T10 ohjata oppilasta käyttämään kemian käsitteitä täsmällisesti sekä </w:t>
            </w:r>
            <w:r w:rsidRPr="00B300A5">
              <w:rPr>
                <w:sz w:val="22"/>
                <w:szCs w:val="22"/>
              </w:rPr>
              <w:lastRenderedPageBreak/>
              <w:t>jäsentämään omia käsiterakenteitaan kohti luonnontieteellisten teorioiden mukaisia käsityksiä</w:t>
            </w:r>
          </w:p>
        </w:tc>
        <w:tc>
          <w:tcPr>
            <w:tcW w:w="321" w:type="pct"/>
            <w:tcMar>
              <w:top w:w="100" w:type="dxa"/>
              <w:left w:w="100" w:type="dxa"/>
              <w:bottom w:w="100" w:type="dxa"/>
              <w:right w:w="100" w:type="dxa"/>
            </w:tcMar>
          </w:tcPr>
          <w:p w14:paraId="0A262394" w14:textId="77777777" w:rsidR="00FC4DA8" w:rsidRPr="00B300A5" w:rsidRDefault="00FC4DA8" w:rsidP="00D8708C">
            <w:pPr>
              <w:spacing w:after="0" w:line="240" w:lineRule="auto"/>
              <w:ind w:left="40"/>
              <w:contextualSpacing/>
              <w:rPr>
                <w:sz w:val="22"/>
                <w:szCs w:val="22"/>
              </w:rPr>
            </w:pPr>
            <w:r w:rsidRPr="00B300A5">
              <w:rPr>
                <w:sz w:val="22"/>
                <w:szCs w:val="22"/>
              </w:rPr>
              <w:lastRenderedPageBreak/>
              <w:t>S1–S6</w:t>
            </w:r>
          </w:p>
        </w:tc>
        <w:tc>
          <w:tcPr>
            <w:tcW w:w="938" w:type="pct"/>
            <w:tcMar>
              <w:top w:w="100" w:type="dxa"/>
              <w:left w:w="100" w:type="dxa"/>
              <w:bottom w:w="100" w:type="dxa"/>
              <w:right w:w="100" w:type="dxa"/>
            </w:tcMar>
          </w:tcPr>
          <w:p w14:paraId="742F9B16" w14:textId="77777777" w:rsidR="00FC4DA8" w:rsidRPr="00B300A5" w:rsidRDefault="00FC4DA8" w:rsidP="00D8708C">
            <w:pPr>
              <w:spacing w:after="0" w:line="240" w:lineRule="auto"/>
              <w:ind w:left="40"/>
              <w:contextualSpacing/>
              <w:rPr>
                <w:sz w:val="22"/>
                <w:szCs w:val="22"/>
              </w:rPr>
            </w:pPr>
            <w:r w:rsidRPr="00B300A5">
              <w:rPr>
                <w:sz w:val="22"/>
                <w:szCs w:val="22"/>
              </w:rPr>
              <w:t xml:space="preserve">Oppilas käyttää kemian käsitteitä täsmällisesti ja </w:t>
            </w:r>
            <w:r w:rsidRPr="00B300A5">
              <w:rPr>
                <w:sz w:val="22"/>
                <w:szCs w:val="22"/>
              </w:rPr>
              <w:lastRenderedPageBreak/>
              <w:t>hyödyntää ajattelussaan luonnontieteellisiä teorioita.</w:t>
            </w:r>
          </w:p>
        </w:tc>
        <w:tc>
          <w:tcPr>
            <w:tcW w:w="759" w:type="pct"/>
            <w:tcMar>
              <w:top w:w="100" w:type="dxa"/>
              <w:left w:w="100" w:type="dxa"/>
              <w:bottom w:w="100" w:type="dxa"/>
              <w:right w:w="100" w:type="dxa"/>
            </w:tcMar>
          </w:tcPr>
          <w:p w14:paraId="615D8F47" w14:textId="77777777" w:rsidR="00FC4DA8" w:rsidRPr="00B300A5" w:rsidRDefault="00FC4DA8" w:rsidP="00D8708C">
            <w:pPr>
              <w:spacing w:after="0" w:line="240" w:lineRule="auto"/>
              <w:ind w:left="40"/>
              <w:contextualSpacing/>
              <w:rPr>
                <w:sz w:val="22"/>
                <w:szCs w:val="22"/>
              </w:rPr>
            </w:pPr>
            <w:r w:rsidRPr="00B300A5">
              <w:rPr>
                <w:sz w:val="22"/>
                <w:szCs w:val="22"/>
              </w:rPr>
              <w:lastRenderedPageBreak/>
              <w:t>Käsitteiden käyttö ja jäsentyminen</w:t>
            </w:r>
          </w:p>
        </w:tc>
        <w:tc>
          <w:tcPr>
            <w:tcW w:w="883" w:type="pct"/>
            <w:tcMar>
              <w:top w:w="100" w:type="dxa"/>
              <w:left w:w="100" w:type="dxa"/>
              <w:bottom w:w="100" w:type="dxa"/>
              <w:right w:w="100" w:type="dxa"/>
            </w:tcMar>
          </w:tcPr>
          <w:p w14:paraId="5D4E9366" w14:textId="77777777" w:rsidR="00FC4DA8" w:rsidRPr="00B300A5" w:rsidRDefault="00FC4DA8" w:rsidP="00D8708C">
            <w:pPr>
              <w:spacing w:after="0" w:line="240" w:lineRule="auto"/>
              <w:contextualSpacing/>
              <w:rPr>
                <w:sz w:val="22"/>
                <w:szCs w:val="22"/>
              </w:rPr>
            </w:pPr>
            <w:r w:rsidRPr="00B300A5">
              <w:rPr>
                <w:sz w:val="22"/>
                <w:szCs w:val="22"/>
              </w:rPr>
              <w:t>Oppilas selittää kemian ilmiöitä käyttäen joitakin kemian käsitteitä.</w:t>
            </w:r>
          </w:p>
        </w:tc>
        <w:tc>
          <w:tcPr>
            <w:tcW w:w="1179" w:type="pct"/>
          </w:tcPr>
          <w:p w14:paraId="3E892A47" w14:textId="19FBBD3C" w:rsidR="00FC4DA8" w:rsidRPr="00B300A5" w:rsidRDefault="005667CF" w:rsidP="00D8708C">
            <w:pPr>
              <w:spacing w:after="0" w:line="240" w:lineRule="auto"/>
              <w:contextualSpacing/>
              <w:rPr>
                <w:sz w:val="22"/>
                <w:szCs w:val="22"/>
              </w:rPr>
            </w:pPr>
            <w:r>
              <w:rPr>
                <w:rFonts w:cstheme="minorHAnsi"/>
                <w:sz w:val="22"/>
                <w:szCs w:val="22"/>
              </w:rPr>
              <w:t>Esimerkkikäsitteitä voi katsoa VSOP-opintosuunnittelutaulukosta</w:t>
            </w:r>
            <w:r w:rsidR="00CC75C7">
              <w:rPr>
                <w:rFonts w:cstheme="minorHAnsi"/>
                <w:sz w:val="22"/>
                <w:szCs w:val="22"/>
              </w:rPr>
              <w:t xml:space="preserve"> ja OPH:n tukimateriaaleista.</w:t>
            </w:r>
          </w:p>
        </w:tc>
      </w:tr>
      <w:tr w:rsidR="00FC4DA8" w:rsidRPr="00B300A5" w14:paraId="059094C3" w14:textId="2F27BA63" w:rsidTr="21DB725F">
        <w:trPr>
          <w:trHeight w:val="284"/>
        </w:trPr>
        <w:tc>
          <w:tcPr>
            <w:tcW w:w="921" w:type="pct"/>
            <w:tcMar>
              <w:top w:w="100" w:type="dxa"/>
              <w:left w:w="100" w:type="dxa"/>
              <w:bottom w:w="100" w:type="dxa"/>
              <w:right w:w="100" w:type="dxa"/>
            </w:tcMar>
          </w:tcPr>
          <w:p w14:paraId="14108357" w14:textId="77777777" w:rsidR="00FC4DA8" w:rsidRPr="00B300A5" w:rsidRDefault="00FC4DA8" w:rsidP="00D8708C">
            <w:pPr>
              <w:spacing w:after="0" w:line="240" w:lineRule="auto"/>
              <w:ind w:left="40"/>
              <w:contextualSpacing/>
              <w:rPr>
                <w:sz w:val="22"/>
                <w:szCs w:val="22"/>
              </w:rPr>
            </w:pPr>
            <w:r w:rsidRPr="00B300A5">
              <w:rPr>
                <w:sz w:val="22"/>
                <w:szCs w:val="22"/>
              </w:rPr>
              <w:t>T11 ohjata oppilasta käyttämään erilaisia malleja kuvaamaan ja selittämään aineen rakennetta ja kemiallisia ilmiöitä</w:t>
            </w:r>
          </w:p>
        </w:tc>
        <w:tc>
          <w:tcPr>
            <w:tcW w:w="321" w:type="pct"/>
            <w:tcMar>
              <w:top w:w="100" w:type="dxa"/>
              <w:left w:w="100" w:type="dxa"/>
              <w:bottom w:w="100" w:type="dxa"/>
              <w:right w:w="100" w:type="dxa"/>
            </w:tcMar>
          </w:tcPr>
          <w:p w14:paraId="588B5CD9"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7575CC2B" w14:textId="77777777" w:rsidR="00FC4DA8" w:rsidRPr="00B300A5" w:rsidRDefault="00FC4DA8" w:rsidP="00D8708C">
            <w:pPr>
              <w:spacing w:after="0" w:line="240" w:lineRule="auto"/>
              <w:ind w:left="40"/>
              <w:contextualSpacing/>
              <w:rPr>
                <w:sz w:val="22"/>
                <w:szCs w:val="22"/>
              </w:rPr>
            </w:pPr>
            <w:r w:rsidRPr="00B300A5">
              <w:rPr>
                <w:sz w:val="22"/>
                <w:szCs w:val="22"/>
              </w:rPr>
              <w:t>Oppilas käyttää erilaisia malleja aineen rakenteen ja kemiallisten ilmiöiden tarkastelussa.</w:t>
            </w:r>
          </w:p>
        </w:tc>
        <w:tc>
          <w:tcPr>
            <w:tcW w:w="759" w:type="pct"/>
            <w:tcMar>
              <w:top w:w="100" w:type="dxa"/>
              <w:left w:w="100" w:type="dxa"/>
              <w:bottom w:w="100" w:type="dxa"/>
              <w:right w:w="100" w:type="dxa"/>
            </w:tcMar>
          </w:tcPr>
          <w:p w14:paraId="43267792" w14:textId="77777777" w:rsidR="00FC4DA8" w:rsidRPr="00B300A5" w:rsidRDefault="00FC4DA8" w:rsidP="00D8708C">
            <w:pPr>
              <w:spacing w:after="0" w:line="240" w:lineRule="auto"/>
              <w:ind w:left="40"/>
              <w:contextualSpacing/>
              <w:rPr>
                <w:sz w:val="22"/>
                <w:szCs w:val="22"/>
              </w:rPr>
            </w:pPr>
            <w:r w:rsidRPr="00B300A5">
              <w:rPr>
                <w:sz w:val="22"/>
                <w:szCs w:val="22"/>
              </w:rPr>
              <w:t>Mallien käyttäminen</w:t>
            </w:r>
          </w:p>
        </w:tc>
        <w:tc>
          <w:tcPr>
            <w:tcW w:w="883" w:type="pct"/>
            <w:tcMar>
              <w:top w:w="100" w:type="dxa"/>
              <w:left w:w="100" w:type="dxa"/>
              <w:bottom w:w="100" w:type="dxa"/>
              <w:right w:w="100" w:type="dxa"/>
            </w:tcMar>
          </w:tcPr>
          <w:p w14:paraId="35C5EFE3" w14:textId="77777777" w:rsidR="00FC4DA8" w:rsidRPr="00B300A5" w:rsidRDefault="00FC4DA8" w:rsidP="00D8708C">
            <w:pPr>
              <w:spacing w:after="0" w:line="240" w:lineRule="auto"/>
              <w:contextualSpacing/>
              <w:rPr>
                <w:sz w:val="22"/>
                <w:szCs w:val="22"/>
              </w:rPr>
            </w:pPr>
            <w:r w:rsidRPr="00B300A5">
              <w:rPr>
                <w:sz w:val="22"/>
                <w:szCs w:val="22"/>
              </w:rPr>
              <w:t>Oppilas tunnistaa, että malleja käytetään aineen rakenteen kuvaamisessa.</w:t>
            </w:r>
          </w:p>
        </w:tc>
        <w:tc>
          <w:tcPr>
            <w:tcW w:w="1179" w:type="pct"/>
          </w:tcPr>
          <w:p w14:paraId="22264494" w14:textId="697DA062" w:rsidR="00FC4DA8" w:rsidRPr="00B300A5" w:rsidRDefault="00707AA5" w:rsidP="00D8708C">
            <w:pPr>
              <w:spacing w:after="0" w:line="240" w:lineRule="auto"/>
              <w:contextualSpacing/>
              <w:rPr>
                <w:sz w:val="22"/>
                <w:szCs w:val="22"/>
              </w:rPr>
            </w:pPr>
            <w:r>
              <w:rPr>
                <w:sz w:val="22"/>
                <w:szCs w:val="22"/>
              </w:rPr>
              <w:t>Esim. tunnistaa atomin mallin. Tunnistaa, että malleja käytetään kuvaamaan esimerkiksi asioita, joita ei paljaalla silmällä voi nähdä.</w:t>
            </w:r>
            <w:r w:rsidR="00BD6093">
              <w:rPr>
                <w:sz w:val="22"/>
                <w:szCs w:val="22"/>
              </w:rPr>
              <w:t xml:space="preserve"> </w:t>
            </w:r>
            <w:r w:rsidR="00AE7B08" w:rsidRPr="00AE7B08">
              <w:rPr>
                <w:sz w:val="22"/>
                <w:szCs w:val="22"/>
              </w:rPr>
              <w:t>Oppilas tunnistaa elämän kannalta yleisimpien alkuaineiden kemiallisia merkkejä.</w:t>
            </w:r>
          </w:p>
        </w:tc>
      </w:tr>
      <w:tr w:rsidR="00FC4DA8" w:rsidRPr="00B300A5" w14:paraId="72E1B7E1" w14:textId="11E8B421" w:rsidTr="21DB725F">
        <w:trPr>
          <w:trHeight w:val="284"/>
        </w:trPr>
        <w:tc>
          <w:tcPr>
            <w:tcW w:w="921" w:type="pct"/>
            <w:tcMar>
              <w:top w:w="100" w:type="dxa"/>
              <w:left w:w="100" w:type="dxa"/>
              <w:bottom w:w="100" w:type="dxa"/>
              <w:right w:w="100" w:type="dxa"/>
            </w:tcMar>
          </w:tcPr>
          <w:p w14:paraId="7E3B1FF4" w14:textId="77777777" w:rsidR="00FC4DA8" w:rsidRPr="00B300A5" w:rsidRDefault="00FC4DA8" w:rsidP="00D8708C">
            <w:pPr>
              <w:spacing w:after="0" w:line="240" w:lineRule="auto"/>
              <w:ind w:left="40"/>
              <w:contextualSpacing/>
              <w:rPr>
                <w:sz w:val="22"/>
                <w:szCs w:val="22"/>
              </w:rPr>
            </w:pPr>
            <w:r w:rsidRPr="00B300A5">
              <w:rPr>
                <w:sz w:val="22"/>
                <w:szCs w:val="22"/>
              </w:rPr>
              <w:t>T14 ohjata oppilasta ymmärtämään perusperiaatteita aineen ominaisuuksista, rakenteesta ja aineiden muutoksista</w:t>
            </w:r>
          </w:p>
        </w:tc>
        <w:tc>
          <w:tcPr>
            <w:tcW w:w="321" w:type="pct"/>
            <w:tcMar>
              <w:top w:w="100" w:type="dxa"/>
              <w:left w:w="100" w:type="dxa"/>
              <w:bottom w:w="100" w:type="dxa"/>
              <w:right w:w="100" w:type="dxa"/>
            </w:tcMar>
          </w:tcPr>
          <w:p w14:paraId="3D45DF88" w14:textId="77777777" w:rsidR="00FC4DA8" w:rsidRPr="00B300A5" w:rsidRDefault="00FC4DA8" w:rsidP="00D8708C">
            <w:pPr>
              <w:spacing w:after="0" w:line="240" w:lineRule="auto"/>
              <w:ind w:left="40"/>
              <w:contextualSpacing/>
              <w:rPr>
                <w:sz w:val="22"/>
                <w:szCs w:val="22"/>
              </w:rPr>
            </w:pPr>
            <w:r w:rsidRPr="00B300A5">
              <w:rPr>
                <w:sz w:val="22"/>
                <w:szCs w:val="22"/>
              </w:rPr>
              <w:t>S5, S6</w:t>
            </w:r>
          </w:p>
        </w:tc>
        <w:tc>
          <w:tcPr>
            <w:tcW w:w="938" w:type="pct"/>
            <w:tcMar>
              <w:top w:w="100" w:type="dxa"/>
              <w:left w:w="100" w:type="dxa"/>
              <w:bottom w:w="100" w:type="dxa"/>
              <w:right w:w="100" w:type="dxa"/>
            </w:tcMar>
          </w:tcPr>
          <w:p w14:paraId="3C9D430B" w14:textId="77777777" w:rsidR="00FC4DA8" w:rsidRPr="00B300A5" w:rsidRDefault="00FC4DA8" w:rsidP="00D8708C">
            <w:pPr>
              <w:spacing w:after="0" w:line="240" w:lineRule="auto"/>
              <w:ind w:left="40"/>
              <w:contextualSpacing/>
              <w:rPr>
                <w:sz w:val="22"/>
                <w:szCs w:val="22"/>
              </w:rPr>
            </w:pPr>
            <w:r w:rsidRPr="00B300A5">
              <w:rPr>
                <w:sz w:val="22"/>
                <w:szCs w:val="22"/>
              </w:rPr>
              <w:t>Oppilas ymmärtää perusperiaatteita aineen ominaisuuksista, rakenteesta ja aineiden muutoksista.</w:t>
            </w:r>
          </w:p>
        </w:tc>
        <w:tc>
          <w:tcPr>
            <w:tcW w:w="759" w:type="pct"/>
            <w:tcMar>
              <w:top w:w="100" w:type="dxa"/>
              <w:left w:w="100" w:type="dxa"/>
              <w:bottom w:w="100" w:type="dxa"/>
              <w:right w:w="100" w:type="dxa"/>
            </w:tcMar>
          </w:tcPr>
          <w:p w14:paraId="7821C047" w14:textId="77777777" w:rsidR="00FC4DA8" w:rsidRPr="00B300A5" w:rsidRDefault="00FC4DA8" w:rsidP="00D8708C">
            <w:pPr>
              <w:spacing w:after="0" w:line="240" w:lineRule="auto"/>
              <w:ind w:left="40"/>
              <w:contextualSpacing/>
              <w:rPr>
                <w:sz w:val="22"/>
                <w:szCs w:val="22"/>
              </w:rPr>
            </w:pPr>
            <w:r w:rsidRPr="00B300A5">
              <w:rPr>
                <w:sz w:val="22"/>
                <w:szCs w:val="22"/>
              </w:rPr>
              <w:t>Tiedollisten jatko-opintovalmiuksien saavuttaminen aineen ominaisuuksista, rakenteesta ja aineiden muutoksista</w:t>
            </w:r>
          </w:p>
        </w:tc>
        <w:tc>
          <w:tcPr>
            <w:tcW w:w="883" w:type="pct"/>
            <w:tcMar>
              <w:top w:w="100" w:type="dxa"/>
              <w:left w:w="100" w:type="dxa"/>
              <w:bottom w:w="100" w:type="dxa"/>
              <w:right w:w="100" w:type="dxa"/>
            </w:tcMar>
          </w:tcPr>
          <w:p w14:paraId="41DA6857" w14:textId="77777777" w:rsidR="00FC4DA8" w:rsidRPr="00B300A5" w:rsidRDefault="00FC4DA8" w:rsidP="00D8708C">
            <w:pPr>
              <w:spacing w:after="0" w:line="240" w:lineRule="auto"/>
              <w:contextualSpacing/>
              <w:rPr>
                <w:sz w:val="22"/>
                <w:szCs w:val="22"/>
              </w:rPr>
            </w:pPr>
            <w:r w:rsidRPr="00B300A5">
              <w:rPr>
                <w:sz w:val="22"/>
                <w:szCs w:val="22"/>
              </w:rPr>
              <w:t>Oppilas tunnistaa joitakin aineen ominaisuuksiin, rakenteeseen ja aineiden muutoksiin liittyviä käsitteitä ja ilmiöitä tutuissa tilanteissa.</w:t>
            </w:r>
          </w:p>
        </w:tc>
        <w:tc>
          <w:tcPr>
            <w:tcW w:w="1179" w:type="pct"/>
          </w:tcPr>
          <w:p w14:paraId="2A078680" w14:textId="77777777" w:rsidR="00FC4DA8" w:rsidRDefault="00D84BD0" w:rsidP="00D8708C">
            <w:pPr>
              <w:spacing w:line="240" w:lineRule="auto"/>
              <w:contextualSpacing/>
              <w:rPr>
                <w:sz w:val="22"/>
                <w:szCs w:val="22"/>
              </w:rPr>
            </w:pPr>
            <w:r>
              <w:rPr>
                <w:sz w:val="22"/>
                <w:szCs w:val="22"/>
              </w:rPr>
              <w:t>Esim. kuva- tai videotehtävä</w:t>
            </w:r>
            <w:r w:rsidR="002403A1">
              <w:rPr>
                <w:sz w:val="22"/>
                <w:szCs w:val="22"/>
              </w:rPr>
              <w:t xml:space="preserve"> hapoista tai emäksistä. </w:t>
            </w:r>
          </w:p>
          <w:p w14:paraId="3B701F8F" w14:textId="77777777" w:rsidR="00277D3E" w:rsidRDefault="00277D3E" w:rsidP="00D8708C">
            <w:pPr>
              <w:spacing w:line="240" w:lineRule="auto"/>
              <w:contextualSpacing/>
              <w:rPr>
                <w:sz w:val="22"/>
                <w:szCs w:val="22"/>
              </w:rPr>
            </w:pPr>
          </w:p>
          <w:p w14:paraId="275304F8" w14:textId="7123A6F9" w:rsidR="00277D3E" w:rsidRPr="00B300A5" w:rsidRDefault="00277D3E" w:rsidP="00D8708C">
            <w:pPr>
              <w:spacing w:line="240" w:lineRule="auto"/>
              <w:contextualSpacing/>
              <w:rPr>
                <w:sz w:val="22"/>
                <w:szCs w:val="22"/>
              </w:rPr>
            </w:pPr>
            <w:r>
              <w:rPr>
                <w:sz w:val="22"/>
                <w:szCs w:val="22"/>
              </w:rPr>
              <w:t>Oppilas tuntee aineiden joitakin ominaisuuksia ja niiden tutkimusmenetelmiä</w:t>
            </w:r>
            <w:r w:rsidR="00255525">
              <w:rPr>
                <w:sz w:val="22"/>
                <w:szCs w:val="22"/>
              </w:rPr>
              <w:t>.</w:t>
            </w:r>
            <w:r w:rsidR="001A4BC9">
              <w:rPr>
                <w:sz w:val="22"/>
                <w:szCs w:val="22"/>
              </w:rPr>
              <w:t xml:space="preserve"> </w:t>
            </w:r>
          </w:p>
        </w:tc>
      </w:tr>
      <w:tr w:rsidR="00FC4DA8" w:rsidRPr="00B300A5" w14:paraId="78D80004" w14:textId="36F273AA" w:rsidTr="21DB725F">
        <w:trPr>
          <w:trHeight w:val="284"/>
        </w:trPr>
        <w:tc>
          <w:tcPr>
            <w:tcW w:w="921" w:type="pct"/>
            <w:tcMar>
              <w:top w:w="100" w:type="dxa"/>
              <w:left w:w="100" w:type="dxa"/>
              <w:bottom w:w="100" w:type="dxa"/>
              <w:right w:w="100" w:type="dxa"/>
            </w:tcMar>
          </w:tcPr>
          <w:p w14:paraId="5858309E" w14:textId="77777777" w:rsidR="00FC4DA8" w:rsidRPr="00B300A5" w:rsidRDefault="00FC4DA8" w:rsidP="00D8708C">
            <w:pPr>
              <w:spacing w:after="0" w:line="240" w:lineRule="auto"/>
              <w:ind w:left="40"/>
              <w:contextualSpacing/>
              <w:rPr>
                <w:sz w:val="22"/>
                <w:szCs w:val="22"/>
              </w:rPr>
            </w:pPr>
            <w:r w:rsidRPr="00B300A5">
              <w:rPr>
                <w:sz w:val="22"/>
                <w:szCs w:val="22"/>
              </w:rPr>
              <w:t>T15 ohjata oppilasta soveltamaan kemian tietojaan ja taitojaan monialaisissa oppimiskokonaisuuksissa sekä tarjota mahdollisuuksia tutustua kemian soveltamiseen erilaisissa tilanteissa, kuten luonnossa, elinkeinoelämässä, järjestöissä tai tiedeyhteisöissä</w:t>
            </w:r>
          </w:p>
        </w:tc>
        <w:tc>
          <w:tcPr>
            <w:tcW w:w="321" w:type="pct"/>
            <w:tcMar>
              <w:top w:w="100" w:type="dxa"/>
              <w:left w:w="100" w:type="dxa"/>
              <w:bottom w:w="100" w:type="dxa"/>
              <w:right w:w="100" w:type="dxa"/>
            </w:tcMar>
          </w:tcPr>
          <w:p w14:paraId="4A4DFD3B" w14:textId="77777777" w:rsidR="00FC4DA8" w:rsidRPr="00B300A5" w:rsidRDefault="00FC4DA8" w:rsidP="00D8708C">
            <w:pPr>
              <w:spacing w:after="0" w:line="240" w:lineRule="auto"/>
              <w:ind w:left="40"/>
              <w:contextualSpacing/>
              <w:rPr>
                <w:sz w:val="22"/>
                <w:szCs w:val="22"/>
              </w:rPr>
            </w:pPr>
            <w:r w:rsidRPr="00B300A5">
              <w:rPr>
                <w:sz w:val="22"/>
                <w:szCs w:val="22"/>
              </w:rPr>
              <w:t>S1–S6</w:t>
            </w:r>
          </w:p>
        </w:tc>
        <w:tc>
          <w:tcPr>
            <w:tcW w:w="938" w:type="pct"/>
            <w:tcMar>
              <w:top w:w="100" w:type="dxa"/>
              <w:left w:w="100" w:type="dxa"/>
              <w:bottom w:w="100" w:type="dxa"/>
              <w:right w:w="100" w:type="dxa"/>
            </w:tcMar>
          </w:tcPr>
          <w:p w14:paraId="2CF8A67D" w14:textId="77777777" w:rsidR="00FC4DA8" w:rsidRPr="00B300A5" w:rsidRDefault="00FC4DA8" w:rsidP="00D8708C">
            <w:pPr>
              <w:spacing w:after="0" w:line="240" w:lineRule="auto"/>
              <w:ind w:left="40"/>
              <w:contextualSpacing/>
              <w:rPr>
                <w:sz w:val="22"/>
                <w:szCs w:val="22"/>
              </w:rPr>
            </w:pPr>
            <w:r w:rsidRPr="00B300A5">
              <w:rPr>
                <w:sz w:val="22"/>
                <w:szCs w:val="22"/>
              </w:rPr>
              <w:t>Oppilas soveltaa kemian tietojaan ja taitojaan eri tilanteissa.</w:t>
            </w:r>
          </w:p>
        </w:tc>
        <w:tc>
          <w:tcPr>
            <w:tcW w:w="759" w:type="pct"/>
            <w:tcMar>
              <w:top w:w="100" w:type="dxa"/>
              <w:left w:w="100" w:type="dxa"/>
              <w:bottom w:w="100" w:type="dxa"/>
              <w:right w:w="100" w:type="dxa"/>
            </w:tcMar>
          </w:tcPr>
          <w:p w14:paraId="5A17CC05" w14:textId="77777777" w:rsidR="00FC4DA8" w:rsidRPr="00B300A5" w:rsidRDefault="00FC4DA8" w:rsidP="00D8708C">
            <w:pPr>
              <w:spacing w:after="0" w:line="240" w:lineRule="auto"/>
              <w:ind w:left="40"/>
              <w:contextualSpacing/>
              <w:rPr>
                <w:sz w:val="22"/>
                <w:szCs w:val="22"/>
              </w:rPr>
            </w:pPr>
          </w:p>
        </w:tc>
        <w:tc>
          <w:tcPr>
            <w:tcW w:w="883" w:type="pct"/>
            <w:tcMar>
              <w:top w:w="100" w:type="dxa"/>
              <w:left w:w="100" w:type="dxa"/>
              <w:bottom w:w="100" w:type="dxa"/>
              <w:right w:w="100" w:type="dxa"/>
            </w:tcMar>
          </w:tcPr>
          <w:p w14:paraId="5DFAC803" w14:textId="77777777" w:rsidR="00FC4DA8" w:rsidRPr="00B300A5" w:rsidRDefault="00FC4DA8" w:rsidP="00D8708C">
            <w:pPr>
              <w:spacing w:after="0" w:line="240" w:lineRule="auto"/>
              <w:ind w:left="40"/>
              <w:contextualSpacing/>
              <w:rPr>
                <w:sz w:val="22"/>
                <w:szCs w:val="22"/>
              </w:rPr>
            </w:pPr>
            <w:r w:rsidRPr="00B300A5">
              <w:rPr>
                <w:i/>
                <w:sz w:val="22"/>
                <w:szCs w:val="22"/>
              </w:rPr>
              <w:t>Ei käytetä arvosanan muodostamisen perusteena. Arvioitava osaaminen sisältyy muiden tavoitteiden osaamisen kuvauksiin.</w:t>
            </w:r>
          </w:p>
        </w:tc>
        <w:tc>
          <w:tcPr>
            <w:tcW w:w="1179" w:type="pct"/>
          </w:tcPr>
          <w:p w14:paraId="0E4C04DF" w14:textId="436B4BF5" w:rsidR="00FC4DA8" w:rsidRPr="002403A1" w:rsidRDefault="002403A1" w:rsidP="00D8708C">
            <w:pPr>
              <w:spacing w:after="0" w:line="240" w:lineRule="auto"/>
              <w:ind w:left="40"/>
              <w:contextualSpacing/>
              <w:rPr>
                <w:iCs/>
                <w:sz w:val="22"/>
                <w:szCs w:val="22"/>
              </w:rPr>
            </w:pPr>
            <w:proofErr w:type="spellStart"/>
            <w:r>
              <w:rPr>
                <w:iCs/>
                <w:sz w:val="22"/>
                <w:szCs w:val="22"/>
              </w:rPr>
              <w:t>Huom</w:t>
            </w:r>
            <w:proofErr w:type="spellEnd"/>
            <w:r>
              <w:rPr>
                <w:iCs/>
                <w:sz w:val="22"/>
                <w:szCs w:val="22"/>
              </w:rPr>
              <w:t>! Itsearviointi.</w:t>
            </w:r>
          </w:p>
        </w:tc>
      </w:tr>
    </w:tbl>
    <w:p w14:paraId="4EDB2BA6" w14:textId="77777777" w:rsidR="00FC4DA8" w:rsidRPr="00B300A5" w:rsidRDefault="00FC4DA8" w:rsidP="00D8708C">
      <w:pPr>
        <w:spacing w:line="240" w:lineRule="auto"/>
        <w:rPr>
          <w:rFonts w:cstheme="minorHAnsi"/>
          <w:sz w:val="22"/>
          <w:szCs w:val="22"/>
        </w:rPr>
      </w:pPr>
    </w:p>
    <w:sectPr w:rsidR="00FC4DA8" w:rsidRPr="00B300A5" w:rsidSect="005667CF">
      <w:head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B3764" w14:textId="77777777" w:rsidR="00A21AEF" w:rsidRDefault="00A21AEF" w:rsidP="00F12393">
      <w:pPr>
        <w:spacing w:after="0" w:line="240" w:lineRule="auto"/>
      </w:pPr>
      <w:r>
        <w:separator/>
      </w:r>
    </w:p>
  </w:endnote>
  <w:endnote w:type="continuationSeparator" w:id="0">
    <w:p w14:paraId="5A36A974" w14:textId="77777777" w:rsidR="00A21AEF" w:rsidRDefault="00A21AEF" w:rsidP="00F12393">
      <w:pPr>
        <w:spacing w:after="0" w:line="240" w:lineRule="auto"/>
      </w:pPr>
      <w:r>
        <w:continuationSeparator/>
      </w:r>
    </w:p>
  </w:endnote>
  <w:endnote w:type="continuationNotice" w:id="1">
    <w:p w14:paraId="3B516FD1" w14:textId="77777777" w:rsidR="00A21AEF" w:rsidRDefault="00A21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BC811" w14:textId="77777777" w:rsidR="00A21AEF" w:rsidRDefault="00A21AEF" w:rsidP="00F12393">
      <w:pPr>
        <w:spacing w:after="0" w:line="240" w:lineRule="auto"/>
      </w:pPr>
      <w:r>
        <w:separator/>
      </w:r>
    </w:p>
  </w:footnote>
  <w:footnote w:type="continuationSeparator" w:id="0">
    <w:p w14:paraId="794BF14B" w14:textId="77777777" w:rsidR="00A21AEF" w:rsidRDefault="00A21AEF" w:rsidP="00F12393">
      <w:pPr>
        <w:spacing w:after="0" w:line="240" w:lineRule="auto"/>
      </w:pPr>
      <w:r>
        <w:continuationSeparator/>
      </w:r>
    </w:p>
  </w:footnote>
  <w:footnote w:type="continuationNotice" w:id="1">
    <w:p w14:paraId="25A4B0D6" w14:textId="77777777" w:rsidR="00A21AEF" w:rsidRDefault="00A21A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12184" w14:textId="263E2CC5" w:rsidR="6C8A40B5" w:rsidRPr="00A0606A" w:rsidRDefault="6C8A40B5" w:rsidP="6C8A40B5">
    <w:pPr>
      <w:pStyle w:val="Yltunniste"/>
      <w:rPr>
        <w:sz w:val="22"/>
        <w:szCs w:val="22"/>
      </w:rPr>
    </w:pPr>
    <w:r w:rsidRPr="00A0606A">
      <w:rPr>
        <w:sz w:val="22"/>
        <w:szCs w:val="22"/>
      </w:rPr>
      <w:fldChar w:fldCharType="begin"/>
    </w:r>
    <w:r w:rsidRPr="00A0606A">
      <w:rPr>
        <w:sz w:val="22"/>
        <w:szCs w:val="22"/>
      </w:rPr>
      <w:instrText>PAGE</w:instrText>
    </w:r>
    <w:r w:rsidRPr="00A0606A">
      <w:rPr>
        <w:sz w:val="22"/>
        <w:szCs w:val="22"/>
      </w:rPr>
      <w:fldChar w:fldCharType="separate"/>
    </w:r>
    <w:r w:rsidR="00F12393" w:rsidRPr="00A0606A">
      <w:rPr>
        <w:noProof/>
        <w:sz w:val="22"/>
        <w:szCs w:val="22"/>
      </w:rPr>
      <w:t>1</w:t>
    </w:r>
    <w:r w:rsidRPr="00A0606A">
      <w:rPr>
        <w:sz w:val="22"/>
        <w:szCs w:val="22"/>
      </w:rPr>
      <w:fldChar w:fldCharType="end"/>
    </w:r>
    <w:r w:rsidRPr="00A0606A">
      <w:rPr>
        <w:sz w:val="22"/>
        <w:szCs w:val="22"/>
      </w:rPr>
      <w:t xml:space="preserve"> </w:t>
    </w:r>
    <w:r w:rsidR="00D8708C">
      <w:rPr>
        <w:sz w:val="22"/>
        <w:szCs w:val="22"/>
      </w:rPr>
      <w:t xml:space="preserve">– </w:t>
    </w:r>
    <w:r w:rsidRPr="00A0606A">
      <w:rPr>
        <w:sz w:val="22"/>
        <w:szCs w:val="22"/>
      </w:rPr>
      <w:t>Kemia 8lk</w:t>
    </w:r>
    <w:r w:rsidR="00D8708C">
      <w:rPr>
        <w:sz w:val="22"/>
        <w:szCs w:val="22"/>
      </w:rPr>
      <w:t xml:space="preserve"> – Arvosana viisi</w:t>
    </w:r>
  </w:p>
  <w:p w14:paraId="0B014908" w14:textId="798D182E" w:rsidR="00F12393" w:rsidRPr="00A0606A" w:rsidRDefault="00F12393">
    <w:pPr>
      <w:pStyle w:val="Yltunniste"/>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B55"/>
    <w:multiLevelType w:val="multilevel"/>
    <w:tmpl w:val="167C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BE6EFC"/>
    <w:multiLevelType w:val="multilevel"/>
    <w:tmpl w:val="EE6A1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E74A3"/>
    <w:multiLevelType w:val="multilevel"/>
    <w:tmpl w:val="B0786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A6392F"/>
    <w:multiLevelType w:val="multilevel"/>
    <w:tmpl w:val="F40A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296423">
    <w:abstractNumId w:val="0"/>
  </w:num>
  <w:num w:numId="2" w16cid:durableId="612858954">
    <w:abstractNumId w:val="1"/>
  </w:num>
  <w:num w:numId="3" w16cid:durableId="1805542076">
    <w:abstractNumId w:val="2"/>
  </w:num>
  <w:num w:numId="4" w16cid:durableId="673074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A8"/>
    <w:rsid w:val="000502FC"/>
    <w:rsid w:val="00061748"/>
    <w:rsid w:val="00064F4D"/>
    <w:rsid w:val="00070E44"/>
    <w:rsid w:val="0007139E"/>
    <w:rsid w:val="00095ABB"/>
    <w:rsid w:val="001A4BC9"/>
    <w:rsid w:val="001D4A7D"/>
    <w:rsid w:val="001D5447"/>
    <w:rsid w:val="00224077"/>
    <w:rsid w:val="002354AD"/>
    <w:rsid w:val="002403A1"/>
    <w:rsid w:val="00254A06"/>
    <w:rsid w:val="00255525"/>
    <w:rsid w:val="00277D3E"/>
    <w:rsid w:val="0029574F"/>
    <w:rsid w:val="002C0167"/>
    <w:rsid w:val="002D3680"/>
    <w:rsid w:val="002F572A"/>
    <w:rsid w:val="00363AA8"/>
    <w:rsid w:val="0038602C"/>
    <w:rsid w:val="003F5B88"/>
    <w:rsid w:val="005667CF"/>
    <w:rsid w:val="005A713E"/>
    <w:rsid w:val="005B2BAC"/>
    <w:rsid w:val="0060569A"/>
    <w:rsid w:val="00605BFC"/>
    <w:rsid w:val="0061044E"/>
    <w:rsid w:val="006B1D8C"/>
    <w:rsid w:val="00707AA5"/>
    <w:rsid w:val="007467E0"/>
    <w:rsid w:val="007B1313"/>
    <w:rsid w:val="0080577B"/>
    <w:rsid w:val="008367B2"/>
    <w:rsid w:val="008E1798"/>
    <w:rsid w:val="008E7DCE"/>
    <w:rsid w:val="008F1760"/>
    <w:rsid w:val="00937F5B"/>
    <w:rsid w:val="009605A5"/>
    <w:rsid w:val="009B7007"/>
    <w:rsid w:val="009D1BB1"/>
    <w:rsid w:val="00A0606A"/>
    <w:rsid w:val="00A21AEF"/>
    <w:rsid w:val="00A341C2"/>
    <w:rsid w:val="00A848FC"/>
    <w:rsid w:val="00AB5F77"/>
    <w:rsid w:val="00AC4FA8"/>
    <w:rsid w:val="00AE45CD"/>
    <w:rsid w:val="00AE7B08"/>
    <w:rsid w:val="00B07A06"/>
    <w:rsid w:val="00B300A5"/>
    <w:rsid w:val="00B7397F"/>
    <w:rsid w:val="00B76B4F"/>
    <w:rsid w:val="00BD6093"/>
    <w:rsid w:val="00BE23BB"/>
    <w:rsid w:val="00BF366C"/>
    <w:rsid w:val="00C939C8"/>
    <w:rsid w:val="00CA6327"/>
    <w:rsid w:val="00CC3A46"/>
    <w:rsid w:val="00CC75C7"/>
    <w:rsid w:val="00D7387A"/>
    <w:rsid w:val="00D77335"/>
    <w:rsid w:val="00D84BD0"/>
    <w:rsid w:val="00D8708C"/>
    <w:rsid w:val="00D955CE"/>
    <w:rsid w:val="00DB11D5"/>
    <w:rsid w:val="00DE02FF"/>
    <w:rsid w:val="00DE13D4"/>
    <w:rsid w:val="00E06814"/>
    <w:rsid w:val="00E164FD"/>
    <w:rsid w:val="00E36A8D"/>
    <w:rsid w:val="00E9546E"/>
    <w:rsid w:val="00ED69B7"/>
    <w:rsid w:val="00F12393"/>
    <w:rsid w:val="00FC4DA8"/>
    <w:rsid w:val="00FF65F3"/>
    <w:rsid w:val="21DB725F"/>
    <w:rsid w:val="292567B4"/>
    <w:rsid w:val="4A8C5D76"/>
    <w:rsid w:val="62F09381"/>
    <w:rsid w:val="6C8A40B5"/>
    <w:rsid w:val="7ADCF371"/>
    <w:rsid w:val="7CA9CD08"/>
    <w:rsid w:val="7E80828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4D966"/>
  <w15:chartTrackingRefBased/>
  <w15:docId w15:val="{F3D6CB56-0E89-4909-87D0-2D86BF03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C4DA8"/>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F1239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F12393"/>
    <w:rPr>
      <w:rFonts w:eastAsiaTheme="minorEastAsia"/>
      <w:sz w:val="20"/>
      <w:szCs w:val="20"/>
    </w:rPr>
  </w:style>
  <w:style w:type="paragraph" w:styleId="Alatunniste">
    <w:name w:val="footer"/>
    <w:basedOn w:val="Normaali"/>
    <w:link w:val="AlatunnisteChar"/>
    <w:uiPriority w:val="99"/>
    <w:unhideWhenUsed/>
    <w:rsid w:val="00F1239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F12393"/>
    <w:rPr>
      <w:rFonts w:eastAsiaTheme="minorEastAsia"/>
      <w:sz w:val="20"/>
      <w:szCs w:val="20"/>
    </w:rPr>
  </w:style>
  <w:style w:type="character" w:styleId="Hyperlinkki">
    <w:name w:val="Hyperlink"/>
    <w:basedOn w:val="Kappaleenoletusfontti"/>
    <w:uiPriority w:val="99"/>
    <w:unhideWhenUsed/>
    <w:rsid w:val="00CA6327"/>
    <w:rPr>
      <w:color w:val="0563C1" w:themeColor="hyperlink"/>
      <w:u w:val="single"/>
    </w:rPr>
  </w:style>
  <w:style w:type="character" w:styleId="Ratkaisematonmaininta">
    <w:name w:val="Unresolved Mention"/>
    <w:basedOn w:val="Kappaleenoletusfontti"/>
    <w:uiPriority w:val="99"/>
    <w:semiHidden/>
    <w:unhideWhenUsed/>
    <w:rsid w:val="00CA6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6785">
      <w:bodyDiv w:val="1"/>
      <w:marLeft w:val="0"/>
      <w:marRight w:val="0"/>
      <w:marTop w:val="0"/>
      <w:marBottom w:val="0"/>
      <w:divBdr>
        <w:top w:val="none" w:sz="0" w:space="0" w:color="auto"/>
        <w:left w:val="none" w:sz="0" w:space="0" w:color="auto"/>
        <w:bottom w:val="none" w:sz="0" w:space="0" w:color="auto"/>
        <w:right w:val="none" w:sz="0" w:space="0" w:color="auto"/>
      </w:divBdr>
    </w:div>
    <w:div w:id="162625307">
      <w:bodyDiv w:val="1"/>
      <w:marLeft w:val="0"/>
      <w:marRight w:val="0"/>
      <w:marTop w:val="0"/>
      <w:marBottom w:val="0"/>
      <w:divBdr>
        <w:top w:val="none" w:sz="0" w:space="0" w:color="auto"/>
        <w:left w:val="none" w:sz="0" w:space="0" w:color="auto"/>
        <w:bottom w:val="none" w:sz="0" w:space="0" w:color="auto"/>
        <w:right w:val="none" w:sz="0" w:space="0" w:color="auto"/>
      </w:divBdr>
    </w:div>
    <w:div w:id="305014494">
      <w:bodyDiv w:val="1"/>
      <w:marLeft w:val="0"/>
      <w:marRight w:val="0"/>
      <w:marTop w:val="0"/>
      <w:marBottom w:val="0"/>
      <w:divBdr>
        <w:top w:val="none" w:sz="0" w:space="0" w:color="auto"/>
        <w:left w:val="none" w:sz="0" w:space="0" w:color="auto"/>
        <w:bottom w:val="none" w:sz="0" w:space="0" w:color="auto"/>
        <w:right w:val="none" w:sz="0" w:space="0" w:color="auto"/>
      </w:divBdr>
    </w:div>
    <w:div w:id="1608465288">
      <w:bodyDiv w:val="1"/>
      <w:marLeft w:val="0"/>
      <w:marRight w:val="0"/>
      <w:marTop w:val="0"/>
      <w:marBottom w:val="0"/>
      <w:divBdr>
        <w:top w:val="none" w:sz="0" w:space="0" w:color="auto"/>
        <w:left w:val="none" w:sz="0" w:space="0" w:color="auto"/>
        <w:bottom w:val="none" w:sz="0" w:space="0" w:color="auto"/>
        <w:right w:val="none" w:sz="0" w:space="0" w:color="auto"/>
      </w:divBdr>
    </w:div>
    <w:div w:id="1937665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h.fi/fi/koulutus-ja-tutkinnot/kemian-paattoarvioint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76A223-8294-4498-B3CC-A70607758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4783A6-7832-4F4E-B6EE-BE0C6F9E25F2}">
  <ds:schemaRefs>
    <ds:schemaRef ds:uri="http://schemas.openxmlformats.org/officeDocument/2006/bibliography"/>
  </ds:schemaRefs>
</ds:datastoreItem>
</file>

<file path=customXml/itemProps3.xml><?xml version="1.0" encoding="utf-8"?>
<ds:datastoreItem xmlns:ds="http://schemas.openxmlformats.org/officeDocument/2006/customXml" ds:itemID="{F4D2433A-06C7-4FD8-9F58-0FA3D37C3D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066946-3570-4F3D-A5F1-2F375FDA86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1031</Words>
  <Characters>8360</Characters>
  <Application>Microsoft Office Word</Application>
  <DocSecurity>0</DocSecurity>
  <Lines>69</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71</cp:revision>
  <dcterms:created xsi:type="dcterms:W3CDTF">2023-04-24T19:23:00Z</dcterms:created>
  <dcterms:modified xsi:type="dcterms:W3CDTF">2024-03-13T13:47:00Z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