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00" w:firstRow="0" w:lastRow="0" w:firstColumn="0" w:lastColumn="0" w:noHBand="0" w:noVBand="1"/>
      </w:tblPr>
      <w:tblGrid>
        <w:gridCol w:w="2746"/>
        <w:gridCol w:w="940"/>
        <w:gridCol w:w="2694"/>
        <w:gridCol w:w="1274"/>
        <w:gridCol w:w="1136"/>
        <w:gridCol w:w="2976"/>
        <w:gridCol w:w="3542"/>
      </w:tblGrid>
      <w:tr w:rsidR="00DF723F" w:rsidRPr="00DF723F" w14:paraId="1E52EA2A" w14:textId="77777777" w:rsidTr="7168C0AB">
        <w:trPr>
          <w:trHeight w:val="283"/>
        </w:trPr>
        <w:tc>
          <w:tcPr>
            <w:tcW w:w="2500" w:type="pct"/>
            <w:gridSpan w:val="4"/>
            <w:tcBorders>
              <w:right w:val="nil"/>
            </w:tcBorders>
            <w:shd w:val="clear" w:color="auto" w:fill="auto"/>
            <w:tcMar>
              <w:top w:w="100" w:type="dxa"/>
              <w:left w:w="100" w:type="dxa"/>
              <w:bottom w:w="100" w:type="dxa"/>
              <w:right w:w="100" w:type="dxa"/>
            </w:tcMar>
          </w:tcPr>
          <w:p w14:paraId="4FE6CAED" w14:textId="28A63242" w:rsidR="00DF723F" w:rsidRPr="00DF723F" w:rsidRDefault="00DC50CC" w:rsidP="00DC50CC">
            <w:pPr>
              <w:spacing w:after="0" w:line="240" w:lineRule="auto"/>
              <w:ind w:left="40"/>
              <w:contextualSpacing/>
              <w:rPr>
                <w:rFonts w:eastAsia="Arial" w:cstheme="minorHAnsi"/>
                <w:bCs/>
                <w:sz w:val="22"/>
                <w:szCs w:val="22"/>
              </w:rPr>
            </w:pPr>
            <w:r>
              <w:rPr>
                <w:rFonts w:eastAsia="Arial" w:cstheme="minorHAnsi"/>
                <w:sz w:val="22"/>
                <w:szCs w:val="22"/>
              </w:rPr>
              <w:t>RUB 7lk – Arvosana viisi</w:t>
            </w:r>
            <w:r>
              <w:rPr>
                <w:rFonts w:eastAsia="Arial" w:cstheme="minorHAnsi"/>
                <w:b/>
                <w:bCs/>
                <w:sz w:val="22"/>
                <w:szCs w:val="22"/>
              </w:rPr>
              <w:br/>
            </w:r>
            <w:r>
              <w:rPr>
                <w:rFonts w:eastAsia="Arial" w:cstheme="minorHAnsi"/>
                <w:b/>
                <w:bCs/>
                <w:sz w:val="22"/>
                <w:szCs w:val="22"/>
              </w:rPr>
              <w:br/>
            </w:r>
            <w:r w:rsidR="00DF723F" w:rsidRPr="00DF723F">
              <w:rPr>
                <w:rFonts w:eastAsia="Arial" w:cstheme="minorHAnsi"/>
                <w:b/>
                <w:bCs/>
                <w:sz w:val="22"/>
                <w:szCs w:val="22"/>
              </w:rPr>
              <w:t>S1 Kasvu kulttuuriseen moninaisuuteen ja kielitietoisuuteen: </w:t>
            </w:r>
            <w:r w:rsidR="00DF723F" w:rsidRPr="00DF723F">
              <w:rPr>
                <w:rFonts w:eastAsia="Arial" w:cstheme="minorHAnsi"/>
                <w:bCs/>
                <w:sz w:val="22"/>
                <w:szCs w:val="22"/>
              </w:rPr>
              <w:t>Tehdään ja raportoidaan havaintoja pohjoismaisista kielenkäyttöympäristöistä, Suomen, Ruotsin ja muiden Pohjoismaiden kulttuurin ominaispiirteistä sekä Pohjoismaita yhdistävistä tekijöistä. Havainnoidaan suomenruotsin ja ruotsinruotsin eroja sekä verrataan ruotsin kieltä oppilaiden aiemmin opiskelemiin kieliin. Käytetään sellaisia kielitiedon käsitteitä, jotka auttavat oppilaita kielten välisessä vertailussa ja ruotsin kielen opiskelussa.</w:t>
            </w:r>
          </w:p>
          <w:p w14:paraId="279E727D" w14:textId="183A322A" w:rsidR="00DF723F" w:rsidRPr="00DF723F" w:rsidRDefault="00DF723F" w:rsidP="00DC50CC">
            <w:pPr>
              <w:pStyle w:val="Luettelokappale"/>
              <w:numPr>
                <w:ilvl w:val="0"/>
                <w:numId w:val="1"/>
              </w:numPr>
              <w:spacing w:after="0" w:line="240" w:lineRule="auto"/>
              <w:ind w:left="467" w:hanging="283"/>
              <w:rPr>
                <w:rFonts w:eastAsia="Arial" w:cstheme="minorHAnsi"/>
                <w:bCs/>
                <w:sz w:val="22"/>
                <w:szCs w:val="22"/>
              </w:rPr>
            </w:pPr>
            <w:r w:rsidRPr="00DF723F">
              <w:rPr>
                <w:rFonts w:eastAsia="Arial" w:cstheme="minorHAnsi"/>
                <w:bCs/>
                <w:sz w:val="22"/>
                <w:szCs w:val="22"/>
              </w:rPr>
              <w:t>tutustutaan Suomen, Ruotsin ja muiden Pohjoismaiden kulttuuriin</w:t>
            </w:r>
          </w:p>
          <w:p w14:paraId="40DFC6D2" w14:textId="77777777" w:rsidR="00DF723F" w:rsidRPr="00DF723F" w:rsidRDefault="00DF723F" w:rsidP="00DC50CC">
            <w:pPr>
              <w:spacing w:after="0" w:line="240" w:lineRule="auto"/>
              <w:ind w:left="40"/>
              <w:contextualSpacing/>
              <w:rPr>
                <w:rFonts w:eastAsia="Arial" w:cstheme="minorHAnsi"/>
                <w:bCs/>
                <w:sz w:val="22"/>
                <w:szCs w:val="22"/>
              </w:rPr>
            </w:pPr>
          </w:p>
          <w:p w14:paraId="6403B9F1" w14:textId="049AECF8" w:rsidR="00DF723F" w:rsidRPr="00DF723F" w:rsidRDefault="00DF723F" w:rsidP="00DC50CC">
            <w:pPr>
              <w:spacing w:after="0" w:line="240" w:lineRule="auto"/>
              <w:ind w:left="40"/>
              <w:contextualSpacing/>
              <w:rPr>
                <w:rFonts w:eastAsia="Arial" w:cstheme="minorHAnsi"/>
                <w:bCs/>
                <w:sz w:val="22"/>
                <w:szCs w:val="22"/>
              </w:rPr>
            </w:pPr>
            <w:r w:rsidRPr="00DF723F">
              <w:rPr>
                <w:rFonts w:eastAsia="Arial" w:cstheme="minorHAnsi"/>
                <w:b/>
                <w:bCs/>
                <w:sz w:val="22"/>
                <w:szCs w:val="22"/>
              </w:rPr>
              <w:t>S2 Kielenopiskelutaidot: </w:t>
            </w:r>
            <w:r w:rsidRPr="00DF723F">
              <w:rPr>
                <w:rFonts w:eastAsia="Arial" w:cstheme="minorHAnsi"/>
                <w:bCs/>
                <w:sz w:val="22"/>
                <w:szCs w:val="22"/>
              </w:rPr>
              <w:t>Käytetään erilaisia opiskelustrategioita, oppimateriaaleja ja oppimisympäristöjä tehokkaasti ja opiskelumotivaatiota vahvistavalla tavalla. Käytetään itsenäiseen, pitkäjänteiseen työskentelyyn ja kriittiseen tiedonhankintaan ohjaavia toimintatapoja. Harjoitetaan vuorovaikutustaitoja ja rohkaistaan oppilaita monipuoliseen kielen käytön harjoittamiseen erilaisissa tilanteissa.</w:t>
            </w:r>
          </w:p>
          <w:p w14:paraId="4F46B856" w14:textId="6E53E890"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käytetään erilaisia motivoivia oppimisympäristöjä sekä ohjataan pitkäjänteiseen työskentelyyn</w:t>
            </w:r>
          </w:p>
        </w:tc>
        <w:tc>
          <w:tcPr>
            <w:tcW w:w="2500" w:type="pct"/>
            <w:gridSpan w:val="3"/>
            <w:tcBorders>
              <w:left w:val="nil"/>
            </w:tcBorders>
            <w:shd w:val="clear" w:color="auto" w:fill="auto"/>
          </w:tcPr>
          <w:p w14:paraId="3915C5F3" w14:textId="77777777" w:rsidR="00DC50CC" w:rsidRDefault="00DC50CC" w:rsidP="00DC50CC">
            <w:pPr>
              <w:spacing w:after="0" w:line="240" w:lineRule="auto"/>
              <w:ind w:left="40"/>
              <w:contextualSpacing/>
              <w:rPr>
                <w:rFonts w:eastAsia="Arial" w:cstheme="minorHAnsi"/>
                <w:b/>
                <w:bCs/>
                <w:sz w:val="22"/>
                <w:szCs w:val="22"/>
              </w:rPr>
            </w:pPr>
          </w:p>
          <w:p w14:paraId="2B63F3E6" w14:textId="77777777" w:rsidR="00DC50CC" w:rsidRDefault="00DC50CC" w:rsidP="00DC50CC">
            <w:pPr>
              <w:spacing w:after="0" w:line="240" w:lineRule="auto"/>
              <w:ind w:left="40"/>
              <w:contextualSpacing/>
              <w:rPr>
                <w:rFonts w:eastAsia="Arial" w:cstheme="minorHAnsi"/>
                <w:b/>
                <w:bCs/>
                <w:sz w:val="22"/>
                <w:szCs w:val="22"/>
              </w:rPr>
            </w:pPr>
          </w:p>
          <w:p w14:paraId="5B79CE56" w14:textId="1357D3C5" w:rsidR="00DF723F" w:rsidRPr="00DF723F" w:rsidRDefault="00DF723F" w:rsidP="00DC50CC">
            <w:pPr>
              <w:spacing w:after="0" w:line="240" w:lineRule="auto"/>
              <w:ind w:left="40"/>
              <w:contextualSpacing/>
              <w:rPr>
                <w:rFonts w:eastAsia="Arial" w:cstheme="minorHAnsi"/>
                <w:bCs/>
                <w:sz w:val="22"/>
                <w:szCs w:val="22"/>
              </w:rPr>
            </w:pPr>
            <w:r w:rsidRPr="00DF723F">
              <w:rPr>
                <w:rFonts w:eastAsia="Arial" w:cstheme="minorHAnsi"/>
                <w:b/>
                <w:bCs/>
                <w:sz w:val="22"/>
                <w:szCs w:val="22"/>
              </w:rPr>
              <w:t>S3 Kehittyvä kielitaito: taito toimia vuorovaikutuksessa, taito tulkita tekstejä, taito tuottaa tekstejä: </w:t>
            </w:r>
            <w:r w:rsidRPr="00DF723F">
              <w:rPr>
                <w:rFonts w:eastAsia="Arial" w:cstheme="minorHAnsi"/>
                <w:bCs/>
                <w:sz w:val="22"/>
                <w:szCs w:val="22"/>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Harjoitellaan runsaasti erilaisia vuorovaikutustilanteita eri viestintäkanavia hyödyntäen.</w:t>
            </w:r>
          </w:p>
          <w:p w14:paraId="6AEDB2B3"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harjoitellaan arkisia kielenkäyttötilanteita</w:t>
            </w:r>
          </w:p>
          <w:p w14:paraId="2D328DA1" w14:textId="77777777" w:rsidR="00DF723F" w:rsidRDefault="00DF723F" w:rsidP="00DC50CC">
            <w:pPr>
              <w:spacing w:after="0" w:line="240" w:lineRule="auto"/>
              <w:contextualSpacing/>
              <w:rPr>
                <w:rFonts w:eastAsia="Arial" w:cstheme="minorHAnsi"/>
                <w:b/>
                <w:bCs/>
                <w:sz w:val="22"/>
                <w:szCs w:val="22"/>
              </w:rPr>
            </w:pPr>
          </w:p>
          <w:p w14:paraId="669BC712" w14:textId="33285430" w:rsidR="00DF723F" w:rsidRPr="00DF723F" w:rsidRDefault="00DF723F" w:rsidP="00DC50CC">
            <w:pPr>
              <w:spacing w:after="0" w:line="240" w:lineRule="auto"/>
              <w:ind w:left="40"/>
              <w:contextualSpacing/>
              <w:rPr>
                <w:rFonts w:eastAsia="Arial" w:cstheme="minorHAnsi"/>
                <w:b/>
                <w:bCs/>
                <w:sz w:val="22"/>
                <w:szCs w:val="22"/>
              </w:rPr>
            </w:pPr>
            <w:r w:rsidRPr="00DF723F">
              <w:rPr>
                <w:rFonts w:eastAsia="Arial" w:cstheme="minorHAnsi"/>
                <w:b/>
                <w:bCs/>
                <w:sz w:val="22"/>
                <w:szCs w:val="22"/>
              </w:rPr>
              <w:t>Vuosiluokkien 7-9 aikana rakenteista opeteltava:</w:t>
            </w:r>
          </w:p>
          <w:p w14:paraId="1A65E08E"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persoonapronominien omistus- ja objektimuodot</w:t>
            </w:r>
          </w:p>
          <w:p w14:paraId="29C0F29D"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järjestysluvut</w:t>
            </w:r>
          </w:p>
          <w:p w14:paraId="689A8ED5"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sanajärjestys: pää- ja sivulauseet</w:t>
            </w:r>
          </w:p>
          <w:p w14:paraId="3699EE33"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imperfekti, perfekti, pluskvamperfekti</w:t>
            </w:r>
          </w:p>
          <w:p w14:paraId="3CA26C1A"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apuverbit</w:t>
            </w:r>
          </w:p>
          <w:p w14:paraId="21C9028C" w14:textId="77777777"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r w:rsidRPr="00DF723F">
              <w:rPr>
                <w:rFonts w:eastAsia="Arial" w:cstheme="minorHAnsi"/>
                <w:bCs/>
                <w:sz w:val="22"/>
                <w:szCs w:val="22"/>
              </w:rPr>
              <w:t>konditionaali</w:t>
            </w:r>
          </w:p>
          <w:p w14:paraId="7F7749B0" w14:textId="209C2876" w:rsidR="00DF723F" w:rsidRPr="00DF723F" w:rsidRDefault="00DF723F" w:rsidP="00DC50CC">
            <w:pPr>
              <w:pStyle w:val="Luettelokappale"/>
              <w:numPr>
                <w:ilvl w:val="0"/>
                <w:numId w:val="1"/>
              </w:numPr>
              <w:spacing w:after="0" w:line="240" w:lineRule="auto"/>
              <w:ind w:left="467" w:hanging="293"/>
              <w:rPr>
                <w:rFonts w:eastAsia="Arial" w:cstheme="minorHAnsi"/>
                <w:bCs/>
                <w:sz w:val="22"/>
                <w:szCs w:val="22"/>
              </w:rPr>
            </w:pPr>
            <w:proofErr w:type="spellStart"/>
            <w:r w:rsidRPr="00DF723F">
              <w:rPr>
                <w:rFonts w:eastAsia="Arial" w:cstheme="minorHAnsi"/>
                <w:bCs/>
                <w:sz w:val="22"/>
                <w:szCs w:val="22"/>
              </w:rPr>
              <w:t>man</w:t>
            </w:r>
            <w:proofErr w:type="spellEnd"/>
            <w:r w:rsidRPr="00DF723F">
              <w:rPr>
                <w:rFonts w:eastAsia="Arial" w:cstheme="minorHAnsi"/>
                <w:bCs/>
                <w:sz w:val="22"/>
                <w:szCs w:val="22"/>
              </w:rPr>
              <w:t xml:space="preserve"> ja </w:t>
            </w:r>
            <w:proofErr w:type="spellStart"/>
            <w:r w:rsidRPr="00DF723F">
              <w:rPr>
                <w:rFonts w:eastAsia="Arial" w:cstheme="minorHAnsi"/>
                <w:bCs/>
                <w:sz w:val="22"/>
                <w:szCs w:val="22"/>
              </w:rPr>
              <w:t>det</w:t>
            </w:r>
            <w:proofErr w:type="spellEnd"/>
            <w:r w:rsidRPr="00DF723F">
              <w:rPr>
                <w:rFonts w:eastAsia="Arial" w:cstheme="minorHAnsi"/>
                <w:bCs/>
                <w:sz w:val="22"/>
                <w:szCs w:val="22"/>
              </w:rPr>
              <w:t xml:space="preserve"> tekijöinä</w:t>
            </w:r>
          </w:p>
        </w:tc>
      </w:tr>
      <w:tr w:rsidR="00BF070C" w:rsidRPr="00DF723F" w14:paraId="35EF08A2" w14:textId="77777777" w:rsidTr="7168C0AB">
        <w:trPr>
          <w:trHeight w:val="283"/>
        </w:trPr>
        <w:tc>
          <w:tcPr>
            <w:tcW w:w="5000" w:type="pct"/>
            <w:gridSpan w:val="7"/>
            <w:shd w:val="clear" w:color="auto" w:fill="FFF2CC" w:themeFill="accent4" w:themeFillTint="33"/>
            <w:tcMar>
              <w:top w:w="100" w:type="dxa"/>
              <w:left w:w="100" w:type="dxa"/>
              <w:bottom w:w="100" w:type="dxa"/>
              <w:right w:w="100" w:type="dxa"/>
            </w:tcMar>
          </w:tcPr>
          <w:p w14:paraId="07968EC0" w14:textId="363EC7BC" w:rsidR="00BF070C" w:rsidRPr="00DF723F" w:rsidRDefault="0047627B" w:rsidP="7168C0AB">
            <w:pPr>
              <w:spacing w:after="0" w:line="240" w:lineRule="auto"/>
              <w:ind w:left="40"/>
              <w:contextualSpacing/>
              <w:rPr>
                <w:rFonts w:eastAsia="Arial"/>
                <w:sz w:val="22"/>
                <w:szCs w:val="22"/>
              </w:rPr>
            </w:pPr>
            <w:r w:rsidRPr="00D91E93">
              <w:rPr>
                <w:sz w:val="22"/>
                <w:szCs w:val="22"/>
              </w:rPr>
              <w:t xml:space="preserve">OPH:n tukimateriaali päättöarviointiin: </w:t>
            </w:r>
            <w:hyperlink r:id="rId10">
              <w:r w:rsidR="75512F7B" w:rsidRPr="7168C0AB">
                <w:rPr>
                  <w:rStyle w:val="Hyperlinkki"/>
                  <w:rFonts w:eastAsia="Arial"/>
                  <w:sz w:val="22"/>
                  <w:szCs w:val="22"/>
                </w:rPr>
                <w:t>https://www.oph.fi/fi/koulutus-ja-tutkinnot/toisen-kotimaisen-kielen-ja-vieraiden-kielten-paattoarvioinnin-tukimateriaali</w:t>
              </w:r>
            </w:hyperlink>
            <w:r w:rsidR="75512F7B" w:rsidRPr="7168C0AB">
              <w:rPr>
                <w:rFonts w:eastAsia="Arial"/>
                <w:sz w:val="22"/>
                <w:szCs w:val="22"/>
              </w:rPr>
              <w:t xml:space="preserve"> </w:t>
            </w:r>
          </w:p>
        </w:tc>
      </w:tr>
      <w:tr w:rsidR="00DF723F" w:rsidRPr="00DF723F" w14:paraId="382A8B8F" w14:textId="2FC6BF1A" w:rsidTr="7168C0AB">
        <w:trPr>
          <w:trHeight w:val="283"/>
        </w:trPr>
        <w:tc>
          <w:tcPr>
            <w:tcW w:w="897" w:type="pct"/>
            <w:shd w:val="clear" w:color="auto" w:fill="B4C6E7" w:themeFill="accent1" w:themeFillTint="66"/>
            <w:tcMar>
              <w:top w:w="100" w:type="dxa"/>
              <w:left w:w="100" w:type="dxa"/>
              <w:bottom w:w="100" w:type="dxa"/>
              <w:right w:w="100" w:type="dxa"/>
            </w:tcMar>
          </w:tcPr>
          <w:p w14:paraId="06EAAD4C"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Opetuksen tavoite</w:t>
            </w:r>
          </w:p>
          <w:p w14:paraId="7406FC98" w14:textId="77777777" w:rsidR="003B55A4" w:rsidRPr="00DF723F" w:rsidRDefault="003B55A4" w:rsidP="00DC50CC">
            <w:pPr>
              <w:spacing w:after="0" w:line="240" w:lineRule="auto"/>
              <w:ind w:left="40"/>
              <w:contextualSpacing/>
              <w:rPr>
                <w:rFonts w:eastAsia="Arial" w:cstheme="minorHAnsi"/>
                <w:sz w:val="22"/>
                <w:szCs w:val="22"/>
              </w:rPr>
            </w:pPr>
          </w:p>
        </w:tc>
        <w:tc>
          <w:tcPr>
            <w:tcW w:w="307" w:type="pct"/>
            <w:shd w:val="clear" w:color="auto" w:fill="B4C6E7" w:themeFill="accent1" w:themeFillTint="66"/>
            <w:tcMar>
              <w:top w:w="100" w:type="dxa"/>
              <w:left w:w="100" w:type="dxa"/>
              <w:bottom w:w="100" w:type="dxa"/>
              <w:right w:w="100" w:type="dxa"/>
            </w:tcMar>
          </w:tcPr>
          <w:p w14:paraId="4B155811" w14:textId="4D59C0A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Sisältö-alueet</w:t>
            </w:r>
          </w:p>
        </w:tc>
        <w:tc>
          <w:tcPr>
            <w:tcW w:w="880" w:type="pct"/>
            <w:shd w:val="clear" w:color="auto" w:fill="B4C6E7" w:themeFill="accent1" w:themeFillTint="66"/>
            <w:tcMar>
              <w:top w:w="100" w:type="dxa"/>
              <w:left w:w="100" w:type="dxa"/>
              <w:bottom w:w="100" w:type="dxa"/>
              <w:right w:w="100" w:type="dxa"/>
            </w:tcMar>
          </w:tcPr>
          <w:p w14:paraId="0CE05FF7"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cstheme="minorHAnsi"/>
                <w:b/>
                <w:sz w:val="22"/>
                <w:szCs w:val="22"/>
              </w:rPr>
              <w:t>Opetuksen tavoitteista johdetut oppimisen tavoitteet</w:t>
            </w:r>
          </w:p>
        </w:tc>
        <w:tc>
          <w:tcPr>
            <w:tcW w:w="787" w:type="pct"/>
            <w:gridSpan w:val="2"/>
            <w:shd w:val="clear" w:color="auto" w:fill="B4C6E7" w:themeFill="accent1" w:themeFillTint="66"/>
          </w:tcPr>
          <w:p w14:paraId="16CE4DC4"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 xml:space="preserve">Arvioinnin kohde </w:t>
            </w:r>
          </w:p>
        </w:tc>
        <w:tc>
          <w:tcPr>
            <w:tcW w:w="972" w:type="pct"/>
            <w:shd w:val="clear" w:color="auto" w:fill="B4C6E7" w:themeFill="accent1" w:themeFillTint="66"/>
            <w:tcMar>
              <w:top w:w="100" w:type="dxa"/>
              <w:left w:w="100" w:type="dxa"/>
              <w:bottom w:w="100" w:type="dxa"/>
              <w:right w:w="100" w:type="dxa"/>
            </w:tcMar>
          </w:tcPr>
          <w:p w14:paraId="038A132D"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 xml:space="preserve">Osaamisen kuvaus arvosanalle 5 </w:t>
            </w:r>
          </w:p>
          <w:p w14:paraId="630E56F3" w14:textId="77777777" w:rsidR="003B55A4" w:rsidRPr="00DF723F" w:rsidRDefault="003B55A4" w:rsidP="00DC50CC">
            <w:pPr>
              <w:spacing w:after="0" w:line="240" w:lineRule="auto"/>
              <w:ind w:left="40"/>
              <w:contextualSpacing/>
              <w:rPr>
                <w:rFonts w:eastAsia="Arial" w:cstheme="minorHAnsi"/>
                <w:sz w:val="22"/>
                <w:szCs w:val="22"/>
              </w:rPr>
            </w:pPr>
          </w:p>
        </w:tc>
        <w:tc>
          <w:tcPr>
            <w:tcW w:w="1157" w:type="pct"/>
            <w:shd w:val="clear" w:color="auto" w:fill="B4C6E7" w:themeFill="accent1" w:themeFillTint="66"/>
          </w:tcPr>
          <w:p w14:paraId="769E0A61" w14:textId="612A4541" w:rsidR="003B55A4" w:rsidRPr="00DF723F" w:rsidRDefault="003B55A4" w:rsidP="00DC50CC">
            <w:pPr>
              <w:spacing w:after="0" w:line="240" w:lineRule="auto"/>
              <w:ind w:left="40"/>
              <w:contextualSpacing/>
              <w:rPr>
                <w:rFonts w:eastAsia="Arial" w:cstheme="minorHAnsi"/>
                <w:b/>
                <w:sz w:val="22"/>
                <w:szCs w:val="22"/>
              </w:rPr>
            </w:pPr>
            <w:r w:rsidRPr="00DF723F">
              <w:rPr>
                <w:rFonts w:eastAsia="Arial" w:cstheme="minorHAnsi"/>
                <w:b/>
                <w:sz w:val="22"/>
                <w:szCs w:val="22"/>
              </w:rPr>
              <w:t>Käytännönläheiset esimerkit</w:t>
            </w:r>
          </w:p>
        </w:tc>
      </w:tr>
      <w:tr w:rsidR="003B55A4" w:rsidRPr="00DF723F" w14:paraId="5C755299" w14:textId="4422DE37" w:rsidTr="7168C0AB">
        <w:trPr>
          <w:trHeight w:val="283"/>
        </w:trPr>
        <w:tc>
          <w:tcPr>
            <w:tcW w:w="897" w:type="pct"/>
            <w:tcMar>
              <w:top w:w="100" w:type="dxa"/>
              <w:left w:w="100" w:type="dxa"/>
              <w:bottom w:w="100" w:type="dxa"/>
              <w:right w:w="100" w:type="dxa"/>
            </w:tcMar>
          </w:tcPr>
          <w:p w14:paraId="640778CC"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sz w:val="22"/>
                <w:szCs w:val="22"/>
              </w:rPr>
              <w:t>T2 ohjata oppilasta havaitsemaan, millaisia säännönmukaisuuksia ruotsin kielessä on ja miten samoja asioita ilmaistaan muissa kielissä, sekä käyttämään kielitiedon käsitteitä oppimisensa tukena</w:t>
            </w:r>
          </w:p>
        </w:tc>
        <w:tc>
          <w:tcPr>
            <w:tcW w:w="307" w:type="pct"/>
            <w:tcMar>
              <w:top w:w="100" w:type="dxa"/>
              <w:left w:w="100" w:type="dxa"/>
              <w:bottom w:w="100" w:type="dxa"/>
              <w:right w:w="100" w:type="dxa"/>
            </w:tcMar>
          </w:tcPr>
          <w:p w14:paraId="0DB20C58"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S1</w:t>
            </w:r>
          </w:p>
        </w:tc>
        <w:tc>
          <w:tcPr>
            <w:tcW w:w="880" w:type="pct"/>
            <w:tcMar>
              <w:top w:w="100" w:type="dxa"/>
              <w:left w:w="100" w:type="dxa"/>
              <w:bottom w:w="100" w:type="dxa"/>
              <w:right w:w="100" w:type="dxa"/>
            </w:tcMar>
          </w:tcPr>
          <w:p w14:paraId="02904478"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Oppilas oppii löytämään ruotsin kielen säännönmukaisuuksia ja vertailemaan ruotsin kieltä muihin kieliin. Hän oppii käyttämään kielitiedon käsitteitä oppimisensa tukena.</w:t>
            </w:r>
          </w:p>
        </w:tc>
        <w:tc>
          <w:tcPr>
            <w:tcW w:w="787" w:type="pct"/>
            <w:gridSpan w:val="2"/>
          </w:tcPr>
          <w:p w14:paraId="739F616B"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Kielellinen päättely</w:t>
            </w:r>
          </w:p>
          <w:p w14:paraId="44693E0F" w14:textId="77777777" w:rsidR="003B55A4" w:rsidRPr="00DF723F" w:rsidRDefault="003B55A4" w:rsidP="00DC50CC">
            <w:pPr>
              <w:spacing w:after="0" w:line="240" w:lineRule="auto"/>
              <w:contextualSpacing/>
              <w:rPr>
                <w:rFonts w:eastAsia="Arial" w:cstheme="minorHAnsi"/>
                <w:sz w:val="22"/>
                <w:szCs w:val="22"/>
              </w:rPr>
            </w:pPr>
          </w:p>
        </w:tc>
        <w:tc>
          <w:tcPr>
            <w:tcW w:w="972" w:type="pct"/>
            <w:shd w:val="clear" w:color="auto" w:fill="auto"/>
            <w:tcMar>
              <w:top w:w="100" w:type="dxa"/>
              <w:left w:w="100" w:type="dxa"/>
              <w:bottom w:w="100" w:type="dxa"/>
              <w:right w:w="100" w:type="dxa"/>
            </w:tcMar>
          </w:tcPr>
          <w:p w14:paraId="147E9D7E" w14:textId="77777777" w:rsidR="003B55A4" w:rsidRPr="00DF723F" w:rsidRDefault="003B55A4" w:rsidP="00DC50CC">
            <w:pPr>
              <w:spacing w:after="0" w:line="240" w:lineRule="auto"/>
              <w:contextualSpacing/>
              <w:rPr>
                <w:rFonts w:cstheme="minorHAnsi"/>
                <w:sz w:val="22"/>
                <w:szCs w:val="22"/>
              </w:rPr>
            </w:pPr>
            <w:r w:rsidRPr="00DF723F">
              <w:rPr>
                <w:rFonts w:cstheme="minorHAnsi"/>
                <w:sz w:val="22"/>
                <w:szCs w:val="22"/>
              </w:rPr>
              <w:t>Oppilas osaa tehdä havaintoja joistakin ruotsin kielen säännönmukaisuuksista.</w:t>
            </w:r>
          </w:p>
          <w:p w14:paraId="586CAEA8" w14:textId="77777777" w:rsidR="003B55A4" w:rsidRPr="00DF723F" w:rsidRDefault="003B55A4" w:rsidP="00DC50CC">
            <w:pPr>
              <w:spacing w:after="0" w:line="240" w:lineRule="auto"/>
              <w:contextualSpacing/>
              <w:rPr>
                <w:rFonts w:cstheme="minorHAnsi"/>
                <w:sz w:val="22"/>
                <w:szCs w:val="22"/>
              </w:rPr>
            </w:pPr>
          </w:p>
        </w:tc>
        <w:tc>
          <w:tcPr>
            <w:tcW w:w="1157" w:type="pct"/>
          </w:tcPr>
          <w:p w14:paraId="08B3B67B" w14:textId="2EA0C718" w:rsidR="003B55A4" w:rsidRPr="00DF723F" w:rsidRDefault="00256DA6" w:rsidP="00DC50CC">
            <w:pPr>
              <w:spacing w:after="0" w:line="240" w:lineRule="auto"/>
              <w:contextualSpacing/>
              <w:rPr>
                <w:rFonts w:cstheme="minorHAnsi"/>
                <w:sz w:val="22"/>
                <w:szCs w:val="22"/>
              </w:rPr>
            </w:pPr>
            <w:r w:rsidRPr="00DF723F">
              <w:rPr>
                <w:rStyle w:val="normaltextrun"/>
                <w:rFonts w:ascii="Calibri" w:hAnsi="Calibri" w:cs="Calibri"/>
                <w:color w:val="000000"/>
                <w:sz w:val="22"/>
                <w:szCs w:val="22"/>
                <w:shd w:val="clear" w:color="auto" w:fill="FFFFFF"/>
              </w:rPr>
              <w:t>Osana kirjoittamisen, ääntämisen ja rakenteiden harjoittelua ohjataan oppilasta tekemään havaintoja esim. säännöllisistä ja epäsäännöllisistä taivutusmuodoista. </w:t>
            </w:r>
            <w:r w:rsidRPr="00DF723F">
              <w:rPr>
                <w:rStyle w:val="eop"/>
                <w:rFonts w:ascii="Calibri" w:hAnsi="Calibri" w:cs="Calibri"/>
                <w:color w:val="000000"/>
                <w:sz w:val="22"/>
                <w:szCs w:val="22"/>
                <w:shd w:val="clear" w:color="auto" w:fill="FFFFFF"/>
              </w:rPr>
              <w:t> </w:t>
            </w:r>
          </w:p>
        </w:tc>
      </w:tr>
      <w:tr w:rsidR="003B55A4" w:rsidRPr="00DF723F" w14:paraId="28298E05" w14:textId="7905B5A0" w:rsidTr="7168C0AB">
        <w:trPr>
          <w:trHeight w:val="283"/>
        </w:trPr>
        <w:tc>
          <w:tcPr>
            <w:tcW w:w="2871" w:type="pct"/>
            <w:gridSpan w:val="5"/>
            <w:tcMar>
              <w:top w:w="100" w:type="dxa"/>
              <w:left w:w="100" w:type="dxa"/>
              <w:bottom w:w="100" w:type="dxa"/>
              <w:right w:w="100" w:type="dxa"/>
            </w:tcMar>
          </w:tcPr>
          <w:p w14:paraId="52614F52"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Kehittyvä kielitaito, taito toimia vuorovaikutuksessa</w:t>
            </w:r>
          </w:p>
        </w:tc>
        <w:tc>
          <w:tcPr>
            <w:tcW w:w="972" w:type="pct"/>
            <w:shd w:val="clear" w:color="auto" w:fill="auto"/>
            <w:tcMar>
              <w:top w:w="100" w:type="dxa"/>
              <w:left w:w="100" w:type="dxa"/>
              <w:bottom w:w="100" w:type="dxa"/>
              <w:right w:w="100" w:type="dxa"/>
            </w:tcMar>
          </w:tcPr>
          <w:p w14:paraId="7A2CEA68" w14:textId="77777777" w:rsidR="003B55A4" w:rsidRPr="00DF723F" w:rsidRDefault="003B55A4" w:rsidP="00DC50CC">
            <w:pPr>
              <w:spacing w:after="0" w:line="240" w:lineRule="auto"/>
              <w:contextualSpacing/>
              <w:rPr>
                <w:rFonts w:cstheme="minorHAnsi"/>
                <w:b/>
                <w:bCs/>
                <w:sz w:val="22"/>
                <w:szCs w:val="22"/>
              </w:rPr>
            </w:pPr>
            <w:r w:rsidRPr="00DF723F">
              <w:rPr>
                <w:rFonts w:cstheme="minorHAnsi"/>
                <w:b/>
                <w:bCs/>
                <w:sz w:val="22"/>
                <w:szCs w:val="22"/>
              </w:rPr>
              <w:t>Taitotaso A1.1</w:t>
            </w:r>
          </w:p>
        </w:tc>
        <w:tc>
          <w:tcPr>
            <w:tcW w:w="1157" w:type="pct"/>
          </w:tcPr>
          <w:p w14:paraId="6B15B28F" w14:textId="77777777" w:rsidR="003B55A4" w:rsidRPr="00DF723F" w:rsidRDefault="003B55A4" w:rsidP="00DC50CC">
            <w:pPr>
              <w:spacing w:after="0" w:line="240" w:lineRule="auto"/>
              <w:contextualSpacing/>
              <w:rPr>
                <w:rFonts w:cstheme="minorHAnsi"/>
                <w:b/>
                <w:bCs/>
                <w:sz w:val="22"/>
                <w:szCs w:val="22"/>
              </w:rPr>
            </w:pPr>
          </w:p>
        </w:tc>
      </w:tr>
      <w:tr w:rsidR="003B55A4" w:rsidRPr="00DF723F" w14:paraId="10E7F0A6" w14:textId="3A700678" w:rsidTr="7168C0AB">
        <w:trPr>
          <w:trHeight w:val="283"/>
        </w:trPr>
        <w:tc>
          <w:tcPr>
            <w:tcW w:w="897" w:type="pct"/>
            <w:tcMar>
              <w:top w:w="100" w:type="dxa"/>
              <w:left w:w="100" w:type="dxa"/>
              <w:bottom w:w="100" w:type="dxa"/>
              <w:right w:w="100" w:type="dxa"/>
            </w:tcMar>
          </w:tcPr>
          <w:p w14:paraId="5D3A2191"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sz w:val="22"/>
                <w:szCs w:val="22"/>
              </w:rPr>
              <w:lastRenderedPageBreak/>
              <w:t>T5 järjestää oppilaalle tilaisuuksia harjoitella eri viestintäkanavia käyttäen suullista ja kirjallista vuorovaikutusta</w:t>
            </w:r>
          </w:p>
        </w:tc>
        <w:tc>
          <w:tcPr>
            <w:tcW w:w="307" w:type="pct"/>
            <w:tcMar>
              <w:top w:w="100" w:type="dxa"/>
              <w:left w:w="100" w:type="dxa"/>
              <w:bottom w:w="100" w:type="dxa"/>
              <w:right w:w="100" w:type="dxa"/>
            </w:tcMar>
          </w:tcPr>
          <w:p w14:paraId="1A26AA05"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S3</w:t>
            </w:r>
          </w:p>
        </w:tc>
        <w:tc>
          <w:tcPr>
            <w:tcW w:w="880" w:type="pct"/>
            <w:tcMar>
              <w:top w:w="100" w:type="dxa"/>
              <w:left w:w="100" w:type="dxa"/>
              <w:bottom w:w="100" w:type="dxa"/>
              <w:right w:w="100" w:type="dxa"/>
            </w:tcMar>
          </w:tcPr>
          <w:p w14:paraId="58553C56"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Oppilas oppii toimimaan erilaisissa vuorovaikutustilanteissa.</w:t>
            </w:r>
          </w:p>
        </w:tc>
        <w:tc>
          <w:tcPr>
            <w:tcW w:w="787" w:type="pct"/>
            <w:gridSpan w:val="2"/>
          </w:tcPr>
          <w:p w14:paraId="58F883C3"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Vuorovaikutus erilaisissa tilanteissa</w:t>
            </w:r>
          </w:p>
          <w:p w14:paraId="50E3A57B" w14:textId="77777777" w:rsidR="003B55A4" w:rsidRPr="00DF723F" w:rsidRDefault="003B55A4" w:rsidP="00DC50CC">
            <w:pPr>
              <w:spacing w:after="0" w:line="240" w:lineRule="auto"/>
              <w:contextualSpacing/>
              <w:rPr>
                <w:rFonts w:eastAsia="Arial" w:cstheme="minorHAnsi"/>
                <w:sz w:val="22"/>
                <w:szCs w:val="22"/>
              </w:rPr>
            </w:pPr>
          </w:p>
          <w:p w14:paraId="48505120" w14:textId="77777777" w:rsidR="003B55A4" w:rsidRPr="00DF723F" w:rsidRDefault="003B55A4" w:rsidP="00DC50CC">
            <w:pPr>
              <w:spacing w:after="0" w:line="240" w:lineRule="auto"/>
              <w:contextualSpacing/>
              <w:rPr>
                <w:rFonts w:eastAsia="Arial" w:cstheme="minorHAnsi"/>
                <w:sz w:val="22"/>
                <w:szCs w:val="22"/>
              </w:rPr>
            </w:pPr>
          </w:p>
        </w:tc>
        <w:tc>
          <w:tcPr>
            <w:tcW w:w="972" w:type="pct"/>
            <w:shd w:val="clear" w:color="auto" w:fill="auto"/>
            <w:tcMar>
              <w:top w:w="100" w:type="dxa"/>
              <w:left w:w="100" w:type="dxa"/>
              <w:bottom w:w="100" w:type="dxa"/>
              <w:right w:w="100" w:type="dxa"/>
            </w:tcMar>
          </w:tcPr>
          <w:p w14:paraId="4C45129D" w14:textId="77777777" w:rsidR="003B55A4" w:rsidRPr="00DF723F" w:rsidRDefault="003B55A4" w:rsidP="00DC50CC">
            <w:pPr>
              <w:spacing w:after="0" w:line="240" w:lineRule="auto"/>
              <w:contextualSpacing/>
              <w:rPr>
                <w:rFonts w:cstheme="minorHAnsi"/>
                <w:sz w:val="22"/>
                <w:szCs w:val="22"/>
              </w:rPr>
            </w:pPr>
            <w:r w:rsidRPr="00DF723F">
              <w:rPr>
                <w:rFonts w:cstheme="minorHAnsi"/>
                <w:sz w:val="22"/>
                <w:szCs w:val="22"/>
              </w:rPr>
              <w:t>Oppilas selviytyy satunnaisesti viestintäkumppanin tukemana muutamasta, kaikkein yleisimmin toistuvasta ja rutiininomaisesta viestintätilanteesta.</w:t>
            </w:r>
          </w:p>
        </w:tc>
        <w:tc>
          <w:tcPr>
            <w:tcW w:w="1157" w:type="pct"/>
          </w:tcPr>
          <w:p w14:paraId="76B5006F" w14:textId="77777777" w:rsidR="003B55A4" w:rsidRPr="00DF723F" w:rsidRDefault="003B55A4" w:rsidP="00DC50CC">
            <w:pPr>
              <w:spacing w:after="0" w:line="240" w:lineRule="auto"/>
              <w:contextualSpacing/>
              <w:rPr>
                <w:rFonts w:cstheme="minorHAnsi"/>
                <w:sz w:val="22"/>
                <w:szCs w:val="22"/>
              </w:rPr>
            </w:pPr>
          </w:p>
        </w:tc>
      </w:tr>
      <w:tr w:rsidR="003B55A4" w:rsidRPr="00DF723F" w14:paraId="632B4679" w14:textId="789DBA98" w:rsidTr="7168C0AB">
        <w:trPr>
          <w:trHeight w:val="264"/>
        </w:trPr>
        <w:tc>
          <w:tcPr>
            <w:tcW w:w="2871" w:type="pct"/>
            <w:gridSpan w:val="5"/>
            <w:tcMar>
              <w:top w:w="100" w:type="dxa"/>
              <w:left w:w="100" w:type="dxa"/>
              <w:bottom w:w="100" w:type="dxa"/>
              <w:right w:w="100" w:type="dxa"/>
            </w:tcMar>
          </w:tcPr>
          <w:p w14:paraId="492E04CE"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b/>
                <w:sz w:val="22"/>
                <w:szCs w:val="22"/>
              </w:rPr>
              <w:t>Kehittyvä kielitaito, taito tuottaa tekstejä</w:t>
            </w:r>
          </w:p>
        </w:tc>
        <w:tc>
          <w:tcPr>
            <w:tcW w:w="972" w:type="pct"/>
            <w:shd w:val="clear" w:color="auto" w:fill="auto"/>
            <w:tcMar>
              <w:top w:w="100" w:type="dxa"/>
              <w:left w:w="100" w:type="dxa"/>
              <w:bottom w:w="100" w:type="dxa"/>
              <w:right w:w="100" w:type="dxa"/>
            </w:tcMar>
          </w:tcPr>
          <w:p w14:paraId="057B384B" w14:textId="77777777" w:rsidR="003B55A4" w:rsidRPr="00DF723F" w:rsidRDefault="003B55A4" w:rsidP="00DC50CC">
            <w:pPr>
              <w:spacing w:after="0" w:line="240" w:lineRule="auto"/>
              <w:contextualSpacing/>
              <w:rPr>
                <w:rFonts w:cstheme="minorHAnsi"/>
                <w:b/>
                <w:bCs/>
                <w:sz w:val="22"/>
                <w:szCs w:val="22"/>
              </w:rPr>
            </w:pPr>
            <w:r w:rsidRPr="00DF723F">
              <w:rPr>
                <w:rFonts w:cstheme="minorHAnsi"/>
                <w:b/>
                <w:bCs/>
                <w:sz w:val="22"/>
                <w:szCs w:val="22"/>
              </w:rPr>
              <w:t>Taitotaso A1.1</w:t>
            </w:r>
          </w:p>
        </w:tc>
        <w:tc>
          <w:tcPr>
            <w:tcW w:w="1157" w:type="pct"/>
          </w:tcPr>
          <w:p w14:paraId="560C43EA" w14:textId="77777777" w:rsidR="003B55A4" w:rsidRPr="00DF723F" w:rsidRDefault="003B55A4" w:rsidP="00DC50CC">
            <w:pPr>
              <w:spacing w:after="0" w:line="240" w:lineRule="auto"/>
              <w:contextualSpacing/>
              <w:rPr>
                <w:rFonts w:cstheme="minorHAnsi"/>
                <w:b/>
                <w:bCs/>
                <w:sz w:val="22"/>
                <w:szCs w:val="22"/>
              </w:rPr>
            </w:pPr>
          </w:p>
        </w:tc>
      </w:tr>
      <w:tr w:rsidR="003B55A4" w:rsidRPr="00DF723F" w14:paraId="755FB8BE" w14:textId="2F965B06" w:rsidTr="7168C0AB">
        <w:trPr>
          <w:trHeight w:val="283"/>
        </w:trPr>
        <w:tc>
          <w:tcPr>
            <w:tcW w:w="897" w:type="pct"/>
            <w:tcMar>
              <w:top w:w="100" w:type="dxa"/>
              <w:left w:w="100" w:type="dxa"/>
              <w:bottom w:w="100" w:type="dxa"/>
              <w:right w:w="100" w:type="dxa"/>
            </w:tcMar>
          </w:tcPr>
          <w:p w14:paraId="0E3B76C3" w14:textId="77777777" w:rsidR="003B55A4" w:rsidRPr="00DF723F" w:rsidRDefault="003B55A4" w:rsidP="00DC50CC">
            <w:pPr>
              <w:spacing w:after="0" w:line="240" w:lineRule="auto"/>
              <w:ind w:left="40"/>
              <w:contextualSpacing/>
              <w:rPr>
                <w:rFonts w:eastAsia="Arial" w:cstheme="minorHAnsi"/>
                <w:sz w:val="22"/>
                <w:szCs w:val="22"/>
              </w:rPr>
            </w:pPr>
            <w:r w:rsidRPr="00DF723F">
              <w:rPr>
                <w:rFonts w:eastAsia="Arial" w:cstheme="minorHAnsi"/>
                <w:sz w:val="22"/>
                <w:szCs w:val="22"/>
              </w:rPr>
              <w:t>T9 tarjota oppilaalle runsaasti tilaisuuksia harjoitella pienimuotoista puhumista ja kirjoittamista erilaisista aiheista kiinnittäen huomiota myös ääntämiseen ja tekstin sisällön kannalta oleellisimpiin rakenteisiin</w:t>
            </w:r>
          </w:p>
        </w:tc>
        <w:tc>
          <w:tcPr>
            <w:tcW w:w="307" w:type="pct"/>
            <w:tcMar>
              <w:top w:w="100" w:type="dxa"/>
              <w:left w:w="100" w:type="dxa"/>
              <w:bottom w:w="100" w:type="dxa"/>
              <w:right w:w="100" w:type="dxa"/>
            </w:tcMar>
          </w:tcPr>
          <w:p w14:paraId="1A47D269"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S3</w:t>
            </w:r>
          </w:p>
        </w:tc>
        <w:tc>
          <w:tcPr>
            <w:tcW w:w="880" w:type="pct"/>
            <w:tcMar>
              <w:top w:w="100" w:type="dxa"/>
              <w:left w:w="100" w:type="dxa"/>
              <w:bottom w:w="100" w:type="dxa"/>
              <w:right w:w="100" w:type="dxa"/>
            </w:tcMar>
          </w:tcPr>
          <w:p w14:paraId="505FC921"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 xml:space="preserve">Oppilas oppii ilmaisemaan itseään suullisesti ja kirjallisesti käyttäen </w:t>
            </w:r>
            <w:r w:rsidRPr="00DF723F">
              <w:rPr>
                <w:rFonts w:cstheme="minorHAnsi"/>
                <w:sz w:val="22"/>
                <w:szCs w:val="22"/>
              </w:rPr>
              <w:t>ruotsin kielen keskeistä sanastoa ja keskeisiä rakenteita</w:t>
            </w:r>
            <w:r w:rsidRPr="00DF723F">
              <w:rPr>
                <w:rFonts w:eastAsia="Arial" w:cstheme="minorHAnsi"/>
                <w:sz w:val="22"/>
                <w:szCs w:val="22"/>
              </w:rPr>
              <w:t>. Hän oppii ääntämään ymmärrettävästi.</w:t>
            </w:r>
          </w:p>
          <w:p w14:paraId="05B3DFAB"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br/>
            </w:r>
          </w:p>
        </w:tc>
        <w:tc>
          <w:tcPr>
            <w:tcW w:w="787" w:type="pct"/>
            <w:gridSpan w:val="2"/>
          </w:tcPr>
          <w:p w14:paraId="60984D14" w14:textId="77777777" w:rsidR="003B55A4" w:rsidRPr="00DF723F" w:rsidRDefault="003B55A4" w:rsidP="00DC50CC">
            <w:pPr>
              <w:spacing w:after="0" w:line="240" w:lineRule="auto"/>
              <w:contextualSpacing/>
              <w:rPr>
                <w:rFonts w:eastAsia="Arial" w:cstheme="minorHAnsi"/>
                <w:sz w:val="22"/>
                <w:szCs w:val="22"/>
              </w:rPr>
            </w:pPr>
            <w:r w:rsidRPr="00DF723F">
              <w:rPr>
                <w:rFonts w:eastAsia="Arial" w:cstheme="minorHAnsi"/>
                <w:sz w:val="22"/>
                <w:szCs w:val="22"/>
              </w:rPr>
              <w:t>Tekstien tuottamistaidot</w:t>
            </w:r>
          </w:p>
        </w:tc>
        <w:tc>
          <w:tcPr>
            <w:tcW w:w="972" w:type="pct"/>
            <w:shd w:val="clear" w:color="auto" w:fill="auto"/>
            <w:tcMar>
              <w:top w:w="100" w:type="dxa"/>
              <w:left w:w="100" w:type="dxa"/>
              <w:bottom w:w="100" w:type="dxa"/>
              <w:right w:w="100" w:type="dxa"/>
            </w:tcMar>
          </w:tcPr>
          <w:p w14:paraId="4DD1EDAE" w14:textId="77777777" w:rsidR="003B55A4" w:rsidRPr="00DF723F" w:rsidRDefault="003B55A4" w:rsidP="00DC50CC">
            <w:pPr>
              <w:spacing w:after="0" w:line="240" w:lineRule="auto"/>
              <w:contextualSpacing/>
              <w:rPr>
                <w:rFonts w:cstheme="minorHAnsi"/>
                <w:sz w:val="22"/>
                <w:szCs w:val="22"/>
              </w:rPr>
            </w:pPr>
            <w:r w:rsidRPr="00DF723F">
              <w:rPr>
                <w:rFonts w:cstheme="minorHAnsi"/>
                <w:sz w:val="22"/>
                <w:szCs w:val="22"/>
              </w:rPr>
              <w:t>Oppilas osaa ilmaista itseään puheessa hyvin suppeasti käyttäen harjoiteltuja sanoja ja opeteltuja vakioilmaisuja.</w:t>
            </w:r>
          </w:p>
          <w:p w14:paraId="0997F7E4" w14:textId="77777777" w:rsidR="003B55A4" w:rsidRPr="00DF723F" w:rsidRDefault="003B55A4" w:rsidP="00DC50CC">
            <w:pPr>
              <w:spacing w:after="0" w:line="240" w:lineRule="auto"/>
              <w:contextualSpacing/>
              <w:rPr>
                <w:rFonts w:cstheme="minorHAnsi"/>
                <w:sz w:val="22"/>
                <w:szCs w:val="22"/>
              </w:rPr>
            </w:pPr>
          </w:p>
          <w:p w14:paraId="260DAAD7" w14:textId="77777777" w:rsidR="003B55A4" w:rsidRPr="00DF723F" w:rsidRDefault="003B55A4" w:rsidP="00DC50CC">
            <w:pPr>
              <w:spacing w:after="0" w:line="240" w:lineRule="auto"/>
              <w:contextualSpacing/>
              <w:rPr>
                <w:rFonts w:cstheme="minorHAnsi"/>
                <w:sz w:val="22"/>
                <w:szCs w:val="22"/>
              </w:rPr>
            </w:pPr>
            <w:r w:rsidRPr="00DF723F">
              <w:rPr>
                <w:rFonts w:cstheme="minorHAnsi"/>
                <w:sz w:val="22"/>
                <w:szCs w:val="22"/>
              </w:rPr>
              <w:t>Oppilas ääntää joitakin harjoiteltuja ilmauksia ymmärrettävästi ja osaa kirjoittaa joitakin erillisiä sanoja ja sanontoja.</w:t>
            </w:r>
          </w:p>
        </w:tc>
        <w:tc>
          <w:tcPr>
            <w:tcW w:w="1157" w:type="pct"/>
          </w:tcPr>
          <w:p w14:paraId="362EC80D" w14:textId="77777777" w:rsidR="003B55A4" w:rsidRPr="00DF723F" w:rsidRDefault="003B55A4" w:rsidP="00DC50CC">
            <w:pPr>
              <w:spacing w:after="0" w:line="240" w:lineRule="auto"/>
              <w:contextualSpacing/>
              <w:rPr>
                <w:rFonts w:cstheme="minorHAnsi"/>
                <w:sz w:val="22"/>
                <w:szCs w:val="22"/>
              </w:rPr>
            </w:pPr>
          </w:p>
        </w:tc>
      </w:tr>
    </w:tbl>
    <w:p w14:paraId="24A2F8D3" w14:textId="77777777" w:rsidR="005443FD" w:rsidRPr="00DF723F" w:rsidRDefault="005443FD" w:rsidP="00DC50CC">
      <w:pPr>
        <w:spacing w:after="0" w:line="240" w:lineRule="auto"/>
        <w:rPr>
          <w:sz w:val="22"/>
          <w:szCs w:val="22"/>
        </w:rPr>
      </w:pPr>
    </w:p>
    <w:sectPr w:rsidR="005443FD" w:rsidRPr="00DF723F" w:rsidSect="00DF723F">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1CB7" w14:textId="77777777" w:rsidR="007F30A5" w:rsidRDefault="007F30A5" w:rsidP="003B55A4">
      <w:pPr>
        <w:spacing w:after="0" w:line="240" w:lineRule="auto"/>
      </w:pPr>
      <w:r>
        <w:separator/>
      </w:r>
    </w:p>
  </w:endnote>
  <w:endnote w:type="continuationSeparator" w:id="0">
    <w:p w14:paraId="68D1462E" w14:textId="77777777" w:rsidR="007F30A5" w:rsidRDefault="007F30A5" w:rsidP="003B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C0A8" w14:textId="77777777" w:rsidR="007F30A5" w:rsidRDefault="007F30A5" w:rsidP="003B55A4">
      <w:pPr>
        <w:spacing w:after="0" w:line="240" w:lineRule="auto"/>
      </w:pPr>
      <w:r>
        <w:separator/>
      </w:r>
    </w:p>
  </w:footnote>
  <w:footnote w:type="continuationSeparator" w:id="0">
    <w:p w14:paraId="6CBD29D6" w14:textId="77777777" w:rsidR="007F30A5" w:rsidRDefault="007F30A5" w:rsidP="003B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14528059"/>
      <w:docPartObj>
        <w:docPartGallery w:val="Page Numbers (Top of Page)"/>
        <w:docPartUnique/>
      </w:docPartObj>
    </w:sdtPr>
    <w:sdtContent>
      <w:p w14:paraId="4C4052B2" w14:textId="2218F285" w:rsidR="00DF723F" w:rsidRPr="00DF723F" w:rsidRDefault="00DF723F">
        <w:pPr>
          <w:pStyle w:val="Yltunniste"/>
          <w:rPr>
            <w:sz w:val="22"/>
            <w:szCs w:val="22"/>
          </w:rPr>
        </w:pPr>
        <w:r w:rsidRPr="00DF723F">
          <w:rPr>
            <w:sz w:val="22"/>
            <w:szCs w:val="22"/>
          </w:rPr>
          <w:fldChar w:fldCharType="begin"/>
        </w:r>
        <w:r w:rsidRPr="00DF723F">
          <w:rPr>
            <w:sz w:val="22"/>
            <w:szCs w:val="22"/>
          </w:rPr>
          <w:instrText>PAGE   \* MERGEFORMAT</w:instrText>
        </w:r>
        <w:r w:rsidRPr="00DF723F">
          <w:rPr>
            <w:sz w:val="22"/>
            <w:szCs w:val="22"/>
          </w:rPr>
          <w:fldChar w:fldCharType="separate"/>
        </w:r>
        <w:r w:rsidRPr="00DF723F">
          <w:rPr>
            <w:sz w:val="22"/>
            <w:szCs w:val="22"/>
          </w:rPr>
          <w:t>2</w:t>
        </w:r>
        <w:r w:rsidRPr="00DF723F">
          <w:rPr>
            <w:sz w:val="22"/>
            <w:szCs w:val="22"/>
          </w:rPr>
          <w:fldChar w:fldCharType="end"/>
        </w:r>
        <w:r w:rsidRPr="00DF723F">
          <w:rPr>
            <w:sz w:val="22"/>
            <w:szCs w:val="22"/>
          </w:rPr>
          <w:t xml:space="preserve"> </w:t>
        </w:r>
        <w:r w:rsidR="00DC50CC">
          <w:rPr>
            <w:sz w:val="22"/>
            <w:szCs w:val="22"/>
          </w:rPr>
          <w:t xml:space="preserve">– </w:t>
        </w:r>
        <w:r w:rsidRPr="00DF723F">
          <w:rPr>
            <w:sz w:val="22"/>
            <w:szCs w:val="22"/>
          </w:rPr>
          <w:t>Ruotsi</w:t>
        </w:r>
        <w:r w:rsidR="00DC50CC">
          <w:rPr>
            <w:sz w:val="22"/>
            <w:szCs w:val="22"/>
          </w:rPr>
          <w:t xml:space="preserve">n kieli, B1-oppimäärä </w:t>
        </w:r>
        <w:r w:rsidRPr="00DF723F">
          <w:rPr>
            <w:sz w:val="22"/>
            <w:szCs w:val="22"/>
          </w:rPr>
          <w:t>7lk</w:t>
        </w:r>
        <w:r w:rsidR="00DC50CC">
          <w:rPr>
            <w:sz w:val="22"/>
            <w:szCs w:val="22"/>
          </w:rPr>
          <w:t xml:space="preserve"> – Arvosana viisi</w:t>
        </w:r>
      </w:p>
    </w:sdtContent>
  </w:sdt>
  <w:p w14:paraId="4E84336C" w14:textId="77777777" w:rsidR="00DF723F" w:rsidRPr="00DF723F" w:rsidRDefault="00DF723F">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F3773"/>
    <w:multiLevelType w:val="hybridMultilevel"/>
    <w:tmpl w:val="5540FCF4"/>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num w:numId="1" w16cid:durableId="19523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4"/>
    <w:rsid w:val="00256DA6"/>
    <w:rsid w:val="002E7067"/>
    <w:rsid w:val="003B55A4"/>
    <w:rsid w:val="004515AA"/>
    <w:rsid w:val="0047627B"/>
    <w:rsid w:val="004932F5"/>
    <w:rsid w:val="005443FD"/>
    <w:rsid w:val="00774A3A"/>
    <w:rsid w:val="0079065C"/>
    <w:rsid w:val="007F30A5"/>
    <w:rsid w:val="0099620D"/>
    <w:rsid w:val="00BF070C"/>
    <w:rsid w:val="00DC50CC"/>
    <w:rsid w:val="00DF723F"/>
    <w:rsid w:val="00F12472"/>
    <w:rsid w:val="00FE1F94"/>
    <w:rsid w:val="7168C0AB"/>
    <w:rsid w:val="75512F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8B1"/>
  <w15:chartTrackingRefBased/>
  <w15:docId w15:val="{C30223F6-5D0A-4EDF-AE5B-CAD97190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55A4"/>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B55A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B55A4"/>
    <w:rPr>
      <w:rFonts w:eastAsiaTheme="minorEastAsia"/>
      <w:sz w:val="20"/>
      <w:szCs w:val="20"/>
    </w:rPr>
  </w:style>
  <w:style w:type="paragraph" w:styleId="Alatunniste">
    <w:name w:val="footer"/>
    <w:basedOn w:val="Normaali"/>
    <w:link w:val="AlatunnisteChar"/>
    <w:uiPriority w:val="99"/>
    <w:unhideWhenUsed/>
    <w:rsid w:val="003B55A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B55A4"/>
    <w:rPr>
      <w:rFonts w:eastAsiaTheme="minorEastAsia"/>
      <w:sz w:val="20"/>
      <w:szCs w:val="20"/>
    </w:rPr>
  </w:style>
  <w:style w:type="paragraph" w:styleId="Luettelokappale">
    <w:name w:val="List Paragraph"/>
    <w:basedOn w:val="Normaali"/>
    <w:uiPriority w:val="34"/>
    <w:qFormat/>
    <w:rsid w:val="00774A3A"/>
    <w:pPr>
      <w:ind w:left="720"/>
      <w:contextualSpacing/>
    </w:pPr>
  </w:style>
  <w:style w:type="character" w:customStyle="1" w:styleId="normaltextrun">
    <w:name w:val="normaltextrun"/>
    <w:basedOn w:val="Kappaleenoletusfontti"/>
    <w:rsid w:val="00256DA6"/>
  </w:style>
  <w:style w:type="character" w:customStyle="1" w:styleId="eop">
    <w:name w:val="eop"/>
    <w:basedOn w:val="Kappaleenoletusfontti"/>
    <w:rsid w:val="00256DA6"/>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8248">
      <w:bodyDiv w:val="1"/>
      <w:marLeft w:val="0"/>
      <w:marRight w:val="0"/>
      <w:marTop w:val="0"/>
      <w:marBottom w:val="0"/>
      <w:divBdr>
        <w:top w:val="none" w:sz="0" w:space="0" w:color="auto"/>
        <w:left w:val="none" w:sz="0" w:space="0" w:color="auto"/>
        <w:bottom w:val="none" w:sz="0" w:space="0" w:color="auto"/>
        <w:right w:val="none" w:sz="0" w:space="0" w:color="auto"/>
      </w:divBdr>
    </w:div>
    <w:div w:id="10676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toisen-kotimaisen-kielen-ja-vieraiden-kielten-paattoarvioinnin-tukimateriaal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A2BD6-662C-460E-96C6-34B77E6A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68C20-B4B2-4825-A821-17CFE28B1A10}">
  <ds:schemaRefs>
    <ds:schemaRef ds:uri="http://schemas.microsoft.com/sharepoint/v3/contenttype/forms"/>
  </ds:schemaRefs>
</ds:datastoreItem>
</file>

<file path=customXml/itemProps3.xml><?xml version="1.0" encoding="utf-8"?>
<ds:datastoreItem xmlns:ds="http://schemas.openxmlformats.org/officeDocument/2006/customXml" ds:itemID="{ABF70205-AC8E-4F88-9329-9F6856B474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3694</Characters>
  <Application>Microsoft Office Word</Application>
  <DocSecurity>0</DocSecurity>
  <Lines>30</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14</cp:revision>
  <dcterms:created xsi:type="dcterms:W3CDTF">2023-05-16T11:00:00Z</dcterms:created>
  <dcterms:modified xsi:type="dcterms:W3CDTF">2024-02-01T09:59:00Z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