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E11BC" w:rsidRPr="00C526B7" w14:paraId="11D0D8B9" w14:textId="77777777" w:rsidTr="00680025">
        <w:tc>
          <w:tcPr>
            <w:tcW w:w="3487" w:type="dxa"/>
            <w:shd w:val="clear" w:color="auto" w:fill="92D050"/>
          </w:tcPr>
          <w:p w14:paraId="6DC41B56" w14:textId="4C41A24F" w:rsidR="00EE11BC" w:rsidRPr="00C526B7" w:rsidRDefault="00680025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086ED442" w:rsidR="00EE11BC" w:rsidRPr="00C526B7" w:rsidRDefault="00680025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02A98A9D" w:rsidR="00EE11BC" w:rsidRPr="00C526B7" w:rsidRDefault="00680025" w:rsidP="00EE11BC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="00EE11BC" w:rsidRPr="00C52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61E33076" w:rsidR="00EE11BC" w:rsidRPr="00C526B7" w:rsidRDefault="00680025" w:rsidP="0A2337F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651BC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EE11BC" w:rsidRPr="00C526B7" w14:paraId="714C685D" w14:textId="77777777" w:rsidTr="4E03F2A4">
        <w:tc>
          <w:tcPr>
            <w:tcW w:w="3487" w:type="dxa"/>
          </w:tcPr>
          <w:p w14:paraId="7A2C41EF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T4 ohjata oppilas etsimään, arvioimaan ja käyttämään uskontoa koskevaa tietoa erilaisista lähteistä</w:t>
            </w:r>
          </w:p>
          <w:p w14:paraId="672A6659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</w:tcPr>
          <w:p w14:paraId="7F890FFE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Oppimaan oppimisen taidot uskonnon opiskelussa</w:t>
            </w:r>
          </w:p>
          <w:p w14:paraId="0A37501D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</w:tcPr>
          <w:p w14:paraId="2A7B1E91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Oppilas osaa hakea tietoa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annetuista </w:t>
            </w: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lähteestä. Oppilas harjoittelee arvioimaan löytämänsä tiedon luotettavuutta ja objektiivisuutta.</w:t>
            </w:r>
          </w:p>
        </w:tc>
        <w:tc>
          <w:tcPr>
            <w:tcW w:w="3487" w:type="dxa"/>
          </w:tcPr>
          <w:p w14:paraId="5DAB6C7B" w14:textId="77777777" w:rsidR="00EE11BC" w:rsidRPr="00C526B7" w:rsidRDefault="00EE11BC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1BC" w:rsidRPr="00C526B7" w14:paraId="2F56A8E8" w14:textId="77777777" w:rsidTr="4E03F2A4">
        <w:tc>
          <w:tcPr>
            <w:tcW w:w="3487" w:type="dxa"/>
          </w:tcPr>
          <w:p w14:paraId="15867C0C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T5 opastaa oppilasta perehtymään Suomen ja Euroopan uskonnollisiin ja katsomuksellisiin juuriin ja nykytilaan</w:t>
            </w:r>
          </w:p>
        </w:tc>
        <w:tc>
          <w:tcPr>
            <w:tcW w:w="3487" w:type="dxa"/>
          </w:tcPr>
          <w:p w14:paraId="15F305D6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Uskontoa ja kulttuuria koskeva tieto</w:t>
            </w:r>
          </w:p>
        </w:tc>
        <w:tc>
          <w:tcPr>
            <w:tcW w:w="3487" w:type="dxa"/>
          </w:tcPr>
          <w:p w14:paraId="4A39AA85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Oppilas</w:t>
            </w:r>
            <w:r w:rsidRPr="009676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osaa kuvata eurooppalaisen uskonnollisuuden juuria pääpiirteissään</w:t>
            </w:r>
            <w:r w:rsidRPr="00C52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87" w:type="dxa"/>
          </w:tcPr>
          <w:p w14:paraId="3026010B" w14:textId="37E4FDE0" w:rsidR="00EE11BC" w:rsidRDefault="00F86892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lähetyskäsky, lähetystyö</w:t>
            </w:r>
          </w:p>
          <w:p w14:paraId="33170DB8" w14:textId="77777777" w:rsidR="00F86892" w:rsidRDefault="00F86892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 seurakunta; mitä yhteistä ja mitä erovaisuutta alkuseurakunnalla ja 2000-luvun omalla seurakunnalla on</w:t>
            </w:r>
          </w:p>
          <w:p w14:paraId="4DC6A136" w14:textId="2B0BE439" w:rsidR="003D5BC0" w:rsidRDefault="00F86892" w:rsidP="003D5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kristinuskon juutalaiset juuret</w:t>
            </w:r>
            <w:r w:rsidR="003D5B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5BC0">
              <w:rPr>
                <w:rFonts w:ascii="Times New Roman" w:hAnsi="Times New Roman" w:cs="Times New Roman"/>
                <w:sz w:val="20"/>
                <w:szCs w:val="20"/>
              </w:rPr>
              <w:t>kirkon historian ensimmäiset tuhat vuotta</w:t>
            </w:r>
          </w:p>
          <w:p w14:paraId="02EB378F" w14:textId="6DF43ABE" w:rsidR="00F86892" w:rsidRPr="00C526B7" w:rsidRDefault="003D5BC0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tutustuminen kirkkotaiteeseen, arkkitehtuuriin ja kirkkomusiikkiin</w:t>
            </w:r>
          </w:p>
        </w:tc>
      </w:tr>
      <w:tr w:rsidR="00EE11BC" w:rsidRPr="00C526B7" w14:paraId="0DDAF7E7" w14:textId="77777777" w:rsidTr="4E03F2A4">
        <w:tc>
          <w:tcPr>
            <w:tcW w:w="3487" w:type="dxa"/>
          </w:tcPr>
          <w:p w14:paraId="5246EB16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T6 ohjata oppilas tutustumaan juutalaisuuteen, kristinuskoon ja islamiin ja niiden vaikutukseen ja historiaan Euroopassa</w:t>
            </w:r>
          </w:p>
        </w:tc>
        <w:tc>
          <w:tcPr>
            <w:tcW w:w="3487" w:type="dxa"/>
          </w:tcPr>
          <w:p w14:paraId="4962DD77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Uskontoa ja kulttuuria koskeva tieto</w:t>
            </w:r>
          </w:p>
        </w:tc>
        <w:tc>
          <w:tcPr>
            <w:tcW w:w="3487" w:type="dxa"/>
          </w:tcPr>
          <w:p w14:paraId="65EC5EDC" w14:textId="77777777" w:rsidR="00EE11BC" w:rsidRDefault="00EE11BC" w:rsidP="00EE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C6">
              <w:rPr>
                <w:rFonts w:ascii="Times New Roman" w:hAnsi="Times New Roman" w:cs="Times New Roman"/>
                <w:sz w:val="20"/>
                <w:szCs w:val="20"/>
              </w:rPr>
              <w:t xml:space="preserve">Oppilas osaa kuvata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juutalaisuuden, </w:t>
            </w:r>
            <w:r w:rsidRPr="008A18C6">
              <w:rPr>
                <w:rFonts w:ascii="Times New Roman" w:hAnsi="Times New Roman" w:cs="Times New Roman"/>
                <w:sz w:val="20"/>
                <w:szCs w:val="20"/>
              </w:rPr>
              <w:t>kristinuskon ja islamin pääpiirteet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sekä niiden keskinäiset suhteet.</w:t>
            </w:r>
          </w:p>
          <w:p w14:paraId="6A05A809" w14:textId="77777777" w:rsidR="00EE11BC" w:rsidRPr="00C526B7" w:rsidRDefault="00EE11BC" w:rsidP="00EE11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B063DF1" w14:textId="77777777" w:rsidR="00F86892" w:rsidRDefault="003D5BC0" w:rsidP="003D5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islamin synty ja vaikutus Euroopan kulttuuriin</w:t>
            </w:r>
          </w:p>
          <w:p w14:paraId="5A39BBE3" w14:textId="72974975" w:rsidR="003D5BC0" w:rsidRPr="00C526B7" w:rsidRDefault="003D5BC0" w:rsidP="003D5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tutustutaan alustavasti näitä uskontoja yhdistäviin pyhiin paikkoihin ja kertomuksiin sekä Jeesukseen asemaan näissä uskonnoissa</w:t>
            </w:r>
          </w:p>
        </w:tc>
      </w:tr>
      <w:tr w:rsidR="00AE3E74" w:rsidRPr="00C526B7" w14:paraId="273A038A" w14:textId="77777777" w:rsidTr="4E03F2A4">
        <w:tc>
          <w:tcPr>
            <w:tcW w:w="3487" w:type="dxa"/>
          </w:tcPr>
          <w:p w14:paraId="12CCD025" w14:textId="56BDB4BD" w:rsidR="00AE3E74" w:rsidRPr="00C526B7" w:rsidRDefault="00AE3E74" w:rsidP="00AE3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T8 ohjata oppilas perehtymään opiskeltavan uskonnon eettisiin opetuksiin sekä eri uskontoja yhdistäviin eettisiin periaatteisiin</w:t>
            </w:r>
          </w:p>
        </w:tc>
        <w:tc>
          <w:tcPr>
            <w:tcW w:w="3487" w:type="dxa"/>
          </w:tcPr>
          <w:p w14:paraId="5659E88B" w14:textId="46CB91C6" w:rsidR="00AE3E74" w:rsidRPr="00C526B7" w:rsidRDefault="00AE3E74" w:rsidP="00AE3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Etiikkaa koskeva tieto</w:t>
            </w:r>
          </w:p>
        </w:tc>
        <w:tc>
          <w:tcPr>
            <w:tcW w:w="3487" w:type="dxa"/>
          </w:tcPr>
          <w:p w14:paraId="523AF2D0" w14:textId="0AA42DFA" w:rsidR="00AE3E74" w:rsidRPr="008A18C6" w:rsidRDefault="00AE3E74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tunnistaa ja osaa nimetä opiskeltavan uskonnon eettisiä opetuksia sekä uskontoja ja katsomuksia yhdistäviä eettisiä periaatteita.</w:t>
            </w:r>
          </w:p>
        </w:tc>
        <w:tc>
          <w:tcPr>
            <w:tcW w:w="3487" w:type="dxa"/>
          </w:tcPr>
          <w:p w14:paraId="116E9FDD" w14:textId="77777777" w:rsidR="00AE3E74" w:rsidRDefault="003D5BC0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rakkauden kaksoiskäsky – lähimmäisen rakkaus</w:t>
            </w:r>
          </w:p>
          <w:p w14:paraId="3A81F8FE" w14:textId="5543CE25" w:rsidR="003D5BC0" w:rsidRPr="00C526B7" w:rsidRDefault="003D5BC0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Kultaisen säännön etiikan pohtiminen eri katsomuksissa</w:t>
            </w:r>
          </w:p>
        </w:tc>
      </w:tr>
      <w:tr w:rsidR="00AE3E74" w:rsidRPr="00C526B7" w14:paraId="5A7140B5" w14:textId="77777777" w:rsidTr="4E03F2A4">
        <w:tc>
          <w:tcPr>
            <w:tcW w:w="3487" w:type="dxa"/>
          </w:tcPr>
          <w:p w14:paraId="7906C8F5" w14:textId="474AEE85" w:rsidR="00AE3E74" w:rsidRPr="00C526B7" w:rsidRDefault="00AE3E74" w:rsidP="00AE3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T11 luoda oppilaalle mahdollisuuksia keskustella eettisistä kysymyksistä, ilmaista</w:t>
            </w:r>
            <w:r w:rsidR="005E7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rakentavasti ajatuksiaan ja tunteitaan sekä harjoitella perustelemaan omia näkemyksiään</w:t>
            </w:r>
          </w:p>
        </w:tc>
        <w:tc>
          <w:tcPr>
            <w:tcW w:w="3487" w:type="dxa"/>
          </w:tcPr>
          <w:p w14:paraId="1458468F" w14:textId="6873DC81" w:rsidR="00AE3E74" w:rsidRPr="00C526B7" w:rsidRDefault="00AE3E74" w:rsidP="00AE3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sz w:val="20"/>
                <w:szCs w:val="20"/>
              </w:rPr>
              <w:t>Ajattelun ja vuorovaikutuksen taidot</w:t>
            </w:r>
          </w:p>
        </w:tc>
        <w:tc>
          <w:tcPr>
            <w:tcW w:w="3487" w:type="dxa"/>
          </w:tcPr>
          <w:p w14:paraId="199790A0" w14:textId="3FDF25CB" w:rsidR="00AE3E74" w:rsidRPr="008A18C6" w:rsidRDefault="00AE3E74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osallistuu yhteiseen keskusteluun, osaa kuunnella toisia ja ilmaista itseään.</w:t>
            </w:r>
          </w:p>
        </w:tc>
        <w:tc>
          <w:tcPr>
            <w:tcW w:w="3487" w:type="dxa"/>
          </w:tcPr>
          <w:p w14:paraId="66941833" w14:textId="34297009" w:rsidR="00AE3E74" w:rsidRPr="00C526B7" w:rsidRDefault="003D5BC0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eettinen keskustelu ja omien näkemysten perusteleminen</w:t>
            </w:r>
          </w:p>
        </w:tc>
      </w:tr>
      <w:tr w:rsidR="00AE3E74" w:rsidRPr="00C526B7" w14:paraId="651D3D8D" w14:textId="77777777" w:rsidTr="4E03F2A4">
        <w:tc>
          <w:tcPr>
            <w:tcW w:w="3487" w:type="dxa"/>
          </w:tcPr>
          <w:p w14:paraId="29E74A84" w14:textId="77777777" w:rsidR="00AE3E74" w:rsidRPr="00C526B7" w:rsidRDefault="00AE3E74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T12 auttaa ja tukea oppilasta muodostamaan ja vahvistamaan myönteistä maailmankatsomusta, itsetuntoa ja luottamusta elämään</w:t>
            </w:r>
          </w:p>
        </w:tc>
        <w:tc>
          <w:tcPr>
            <w:tcW w:w="3487" w:type="dxa"/>
          </w:tcPr>
          <w:p w14:paraId="41C8F396" w14:textId="77777777" w:rsidR="00AE3E74" w:rsidRPr="00C526B7" w:rsidRDefault="00AE3E74" w:rsidP="00AE3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</w:tcPr>
          <w:p w14:paraId="2B434DB8" w14:textId="31B22C23" w:rsidR="00AE3E74" w:rsidRPr="00C526B7" w:rsidRDefault="00AE3E74" w:rsidP="00AE3E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6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Ei vaikuta arvosanan muodostumiseen. Oppilaita ohjataan pohtimaan kokemuksiaan osana itsearviointia.</w:t>
            </w:r>
          </w:p>
        </w:tc>
        <w:tc>
          <w:tcPr>
            <w:tcW w:w="3487" w:type="dxa"/>
          </w:tcPr>
          <w:p w14:paraId="72A3D3EC" w14:textId="58D45980" w:rsidR="00AE3E74" w:rsidRPr="00C526B7" w:rsidRDefault="003D5BC0" w:rsidP="00AE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oppilaan omat elämänvalinnat ja hänen toimintansa taustalla vaikuttavat arvot (elämäntaidot, itsetuntemus, tunnetaidot ja kokonaisvaltainen hyvinvointi)</w:t>
            </w:r>
          </w:p>
        </w:tc>
      </w:tr>
    </w:tbl>
    <w:p w14:paraId="0D0B940D" w14:textId="77777777" w:rsidR="002E7698" w:rsidRPr="00C47BF5" w:rsidRDefault="002E7698" w:rsidP="00EE11BC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9790" w14:textId="77777777" w:rsidR="008D2F1D" w:rsidRDefault="008D2F1D" w:rsidP="004B543D">
      <w:pPr>
        <w:spacing w:after="0" w:line="240" w:lineRule="auto"/>
      </w:pPr>
      <w:r>
        <w:separator/>
      </w:r>
    </w:p>
  </w:endnote>
  <w:endnote w:type="continuationSeparator" w:id="0">
    <w:p w14:paraId="331C247F" w14:textId="77777777" w:rsidR="008D2F1D" w:rsidRDefault="008D2F1D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2337F8" w14:paraId="2764B894" w14:textId="77777777" w:rsidTr="0A2337F8">
      <w:tc>
        <w:tcPr>
          <w:tcW w:w="4650" w:type="dxa"/>
        </w:tcPr>
        <w:p w14:paraId="6B8303B4" w14:textId="0D653383" w:rsidR="0A2337F8" w:rsidRDefault="0A2337F8" w:rsidP="0A2337F8">
          <w:pPr>
            <w:pStyle w:val="Yltunniste"/>
            <w:ind w:left="-115"/>
          </w:pPr>
        </w:p>
      </w:tc>
      <w:tc>
        <w:tcPr>
          <w:tcW w:w="4650" w:type="dxa"/>
        </w:tcPr>
        <w:p w14:paraId="53B1615F" w14:textId="5DDB8900" w:rsidR="0A2337F8" w:rsidRDefault="0A2337F8" w:rsidP="0A2337F8">
          <w:pPr>
            <w:pStyle w:val="Yltunniste"/>
            <w:jc w:val="center"/>
          </w:pPr>
        </w:p>
      </w:tc>
      <w:tc>
        <w:tcPr>
          <w:tcW w:w="4650" w:type="dxa"/>
        </w:tcPr>
        <w:p w14:paraId="2A13C5AF" w14:textId="0703A21C" w:rsidR="0A2337F8" w:rsidRDefault="0A2337F8" w:rsidP="0A2337F8">
          <w:pPr>
            <w:pStyle w:val="Yltunniste"/>
            <w:ind w:right="-115"/>
            <w:jc w:val="right"/>
          </w:pPr>
        </w:p>
      </w:tc>
    </w:tr>
  </w:tbl>
  <w:p w14:paraId="6030FDFB" w14:textId="465FB77A" w:rsidR="0A2337F8" w:rsidRDefault="0A2337F8" w:rsidP="0A2337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16D3" w14:textId="77777777" w:rsidR="008D2F1D" w:rsidRDefault="008D2F1D" w:rsidP="004B543D">
      <w:pPr>
        <w:spacing w:after="0" w:line="240" w:lineRule="auto"/>
      </w:pPr>
      <w:r>
        <w:separator/>
      </w:r>
    </w:p>
  </w:footnote>
  <w:footnote w:type="continuationSeparator" w:id="0">
    <w:p w14:paraId="258A28BA" w14:textId="77777777" w:rsidR="008D2F1D" w:rsidRDefault="008D2F1D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20D2" w14:textId="6763FC12" w:rsidR="00EE11BC" w:rsidRPr="00C47BF5" w:rsidRDefault="0A2337F8" w:rsidP="00EE11BC">
    <w:pPr>
      <w:rPr>
        <w:b/>
        <w:bCs/>
        <w:sz w:val="36"/>
        <w:szCs w:val="36"/>
      </w:rPr>
    </w:pPr>
    <w:r w:rsidRPr="0A2337F8">
      <w:rPr>
        <w:b/>
        <w:bCs/>
        <w:sz w:val="36"/>
        <w:szCs w:val="36"/>
      </w:rPr>
      <w:t>Uskonto ev.lut. 5lk.</w:t>
    </w:r>
  </w:p>
  <w:p w14:paraId="0E27B00A" w14:textId="77777777" w:rsidR="00EE11BC" w:rsidRPr="00EE11BC" w:rsidRDefault="00EE11BC" w:rsidP="00EE11B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4378B"/>
    <w:rsid w:val="001133CB"/>
    <w:rsid w:val="001929AF"/>
    <w:rsid w:val="001D5EA1"/>
    <w:rsid w:val="002A368B"/>
    <w:rsid w:val="002B296E"/>
    <w:rsid w:val="002E7698"/>
    <w:rsid w:val="003245F9"/>
    <w:rsid w:val="00360F46"/>
    <w:rsid w:val="00380DE9"/>
    <w:rsid w:val="00391E76"/>
    <w:rsid w:val="003D5BC0"/>
    <w:rsid w:val="003E2EB2"/>
    <w:rsid w:val="004541D8"/>
    <w:rsid w:val="004A160A"/>
    <w:rsid w:val="004B543D"/>
    <w:rsid w:val="00504394"/>
    <w:rsid w:val="005D4E2A"/>
    <w:rsid w:val="005E7F7F"/>
    <w:rsid w:val="005F1F07"/>
    <w:rsid w:val="00602EBA"/>
    <w:rsid w:val="00680025"/>
    <w:rsid w:val="007406EF"/>
    <w:rsid w:val="007A78F1"/>
    <w:rsid w:val="007B5171"/>
    <w:rsid w:val="00841EC0"/>
    <w:rsid w:val="00855054"/>
    <w:rsid w:val="008B3976"/>
    <w:rsid w:val="008D2F1D"/>
    <w:rsid w:val="008E33A0"/>
    <w:rsid w:val="00962551"/>
    <w:rsid w:val="0096468F"/>
    <w:rsid w:val="00975CB5"/>
    <w:rsid w:val="00A261F0"/>
    <w:rsid w:val="00A8130B"/>
    <w:rsid w:val="00AE3E74"/>
    <w:rsid w:val="00C47966"/>
    <w:rsid w:val="00C47BF5"/>
    <w:rsid w:val="00C526B7"/>
    <w:rsid w:val="00CB6B6E"/>
    <w:rsid w:val="00CF776F"/>
    <w:rsid w:val="00DF2009"/>
    <w:rsid w:val="00E141C9"/>
    <w:rsid w:val="00E17102"/>
    <w:rsid w:val="00E200B1"/>
    <w:rsid w:val="00EE11BC"/>
    <w:rsid w:val="00F86892"/>
    <w:rsid w:val="00FA60A0"/>
    <w:rsid w:val="00FD40F0"/>
    <w:rsid w:val="00FE521C"/>
    <w:rsid w:val="0A2337F8"/>
    <w:rsid w:val="1C081AE0"/>
    <w:rsid w:val="312BCC82"/>
    <w:rsid w:val="4E03F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DFD3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E0380-F4FD-4CD2-8536-C0BD71A2F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F36E-07B7-4AA8-BEA5-021A6247A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F9F2C-67A2-42C6-96F2-C7E96519D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A0B6A-90A8-4730-AFE8-CDB9322FB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12</cp:revision>
  <dcterms:created xsi:type="dcterms:W3CDTF">2020-12-03T10:13:00Z</dcterms:created>
  <dcterms:modified xsi:type="dcterms:W3CDTF">2021-04-26T07:44:00Z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