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D49" w:rsidRPr="00376D49" w:rsidRDefault="00376D49" w:rsidP="00E63C85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t>Pe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rus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tie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dot -vä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8"/>
          <w:szCs w:val="28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25453" w:rsidTr="00E63C85">
        <w:trPr>
          <w:trHeight w:val="1709"/>
        </w:trPr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eastAsia="fi-FI"/>
              </w:rPr>
              <w:t>Nimi</w:t>
            </w:r>
          </w:p>
        </w:tc>
        <w:tc>
          <w:tcPr>
            <w:tcW w:w="7938" w:type="dxa"/>
            <w:vAlign w:val="center"/>
            <w:hideMark/>
          </w:tcPr>
          <w:p w:rsidR="001574EB" w:rsidRPr="001574EB" w:rsidRDefault="001574EB" w:rsidP="001574EB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osaaminen ja asiantuntijuus: </w:t>
            </w:r>
            <w:r w:rsidR="003624C6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syventävä ohjattu </w:t>
            </w: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harjoittelu</w:t>
            </w:r>
          </w:p>
          <w:p w:rsidR="00C82D1D" w:rsidRPr="001574EB" w:rsidRDefault="001574EB" w:rsidP="003624C6">
            <w:pPr>
              <w:pStyle w:val="ListParagraph"/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val="en-US" w:eastAsia="fi-FI"/>
              </w:rPr>
            </w:pP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 xml:space="preserve">competence and </w:t>
            </w:r>
            <w:r w:rsidR="0084553D"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>expertise</w:t>
            </w: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 xml:space="preserve">: supervised </w:t>
            </w:r>
            <w:r w:rsidR="003624C6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>advanced</w:t>
            </w: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val="en-US" w:eastAsia="fi-FI"/>
              </w:rPr>
              <w:t xml:space="preserve"> teaching practice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1574EB" w:rsidRDefault="00EC0911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val="en-US" w:eastAsia="fi-FI"/>
              </w:rPr>
            </w:pPr>
            <w:r w:rsidRPr="001574EB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val="en-US"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näkyy opiskelijalle opintojaksoesitteen perustiedoissa.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(</w:t>
            </w:r>
            <w:r w:rsidR="00376D49"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Koodi</w:t>
            </w:r>
            <w:r w:rsidRPr="000B3AAD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1574EB" w:rsidP="00290E6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OPEA5</w:t>
            </w:r>
            <w:r w:rsidR="003624C6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2</w:t>
            </w:r>
            <w:r w:rsidR="000B3AAD" w:rsidRPr="00D6115C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5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Arviointiasteikko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1574EB" w:rsidP="00290E6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hyväksytty - hylätty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Laajuus</w:t>
            </w:r>
          </w:p>
        </w:tc>
        <w:tc>
          <w:tcPr>
            <w:tcW w:w="7938" w:type="dxa"/>
            <w:vAlign w:val="center"/>
            <w:hideMark/>
          </w:tcPr>
          <w:p w:rsidR="00EC0911" w:rsidRPr="00A41F61" w:rsidRDefault="00EC0911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</w:p>
          <w:p w:rsidR="00376D49" w:rsidRPr="00A41F61" w:rsidRDefault="003624C6" w:rsidP="00376D4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7</w:t>
            </w:r>
            <w:r w:rsidR="00EC0911"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</w:t>
            </w:r>
          </w:p>
          <w:p w:rsidR="00376D49" w:rsidRPr="00A41F61" w:rsidRDefault="00376D49" w:rsidP="00EC0911">
            <w:pPr>
              <w:spacing w:before="100" w:beforeAutospacing="1" w:after="100" w:afterAutospacing="1" w:line="240" w:lineRule="auto"/>
              <w:ind w:left="720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Opinnon tyyppi </w:t>
            </w:r>
            <w:r w:rsidRPr="00A41F61">
              <w:rPr>
                <w:rFonts w:asciiTheme="majorHAnsi" w:eastAsia="Times New Roman" w:hAnsiTheme="majorHAnsi" w:cstheme="majorHAnsi"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Suurin osa opintojaksoista on tyyppiä "Tavallinen opintojakso". </w:t>
            </w:r>
            <w:hyperlink r:id="rId7" w:history="1">
              <w:r w:rsidRPr="00A41F61">
                <w:rPr>
                  <w:rFonts w:asciiTheme="majorHAnsi" w:eastAsia="Times New Roman" w:hAnsiTheme="majorHAnsi" w:cstheme="majorHAnsi"/>
                  <w:color w:val="002957"/>
                  <w:sz w:val="16"/>
                  <w:szCs w:val="16"/>
                  <w:lang w:eastAsia="fi-FI"/>
                </w:rPr>
                <w:t>Lisäohjeita opintojakson tyypin valintaan</w:t>
              </w:r>
            </w:hyperlink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Opintojakson tyyppi on raportoinnissa ja tiedonkeruissa tarvittava tieto.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Hakusanat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Voit määrittää hakusanoja, jotka auttavat opiskelijaa löytämään opintoja.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Opetussuunnitelmakaudet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Valitaan kaudet 2020-21, 2021-22, 2022-23.</w:t>
            </w:r>
          </w:p>
          <w:p w:rsidR="00376D49" w:rsidRPr="00A41F61" w:rsidRDefault="00376D49" w:rsidP="00376D4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Tarjoaa automaattisesti seuraavaa vuoden mittaista opetussuunnitelmakautta, muista lisätä kaksi muuta OPS-kautta.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Vastuuorganisaatiot </w:t>
            </w:r>
            <w:r w:rsidRPr="00A41F61">
              <w:rPr>
                <w:rFonts w:asciiTheme="majorHAnsi" w:eastAsia="Times New Roman" w:hAnsiTheme="majorHAnsi" w:cstheme="maj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Klikkaa sinistä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+ Lisää 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 xml:space="preserve"> -kuvaketta, ja hae opintojakson vastuuorganisaatio </w:t>
            </w:r>
            <w:r w:rsidRPr="00A41F61">
              <w:rPr>
                <w:rFonts w:asciiTheme="majorHAnsi" w:eastAsia="Times New Roman" w:hAnsiTheme="majorHAnsi" w:cstheme="majorHAnsi"/>
                <w:i/>
                <w:iCs/>
                <w:color w:val="212529"/>
                <w:sz w:val="16"/>
                <w:szCs w:val="16"/>
                <w:lang w:eastAsia="fi-FI"/>
              </w:rPr>
              <w:t>organisaatio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-kenttään.</w:t>
            </w:r>
          </w:p>
          <w:p w:rsidR="00376D49" w:rsidRPr="00A41F61" w:rsidRDefault="00376D49" w:rsidP="00376D4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Vastuuorganisaatioita voi olla useampi, kunhan jako-osuuksien summa on 100%.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Vastuuhenkilöt</w:t>
            </w: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  <w:t> </w:t>
            </w:r>
          </w:p>
        </w:tc>
        <w:tc>
          <w:tcPr>
            <w:tcW w:w="7938" w:type="dxa"/>
            <w:vAlign w:val="center"/>
            <w:hideMark/>
          </w:tcPr>
          <w:p w:rsidR="00376D49" w:rsidRPr="001574EB" w:rsidRDefault="001574EB" w:rsidP="001574EB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1574EB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Vastuuyksikkö Opettajankoulutuslaitos, Normaalikoulu ja näiden yhteistyössä koordinoimat oppilaitokset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1F4403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Voimassaoloaika</w:t>
            </w: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Määrittää, millä aikavälillä opintojakson versiosta voi kirjata suorituksia.</w:t>
            </w:r>
          </w:p>
          <w:p w:rsidR="00376D49" w:rsidRPr="00A41F61" w:rsidRDefault="00376D49" w:rsidP="00376D4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lang w:eastAsia="fi-FI"/>
              </w:rPr>
              <w:t>Jätä päättymispäivämäärä tyhjäksi.</w:t>
            </w:r>
          </w:p>
        </w:tc>
      </w:tr>
      <w:tr w:rsidR="00376D49" w:rsidRPr="00A41F61" w:rsidTr="00E63C85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asciiTheme="majorHAnsi" w:eastAsia="Times New Roman" w:hAnsiTheme="majorHAnsi" w:cstheme="maj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Vastaavuudet</w:t>
            </w:r>
          </w:p>
        </w:tc>
        <w:tc>
          <w:tcPr>
            <w:tcW w:w="7938" w:type="dxa"/>
            <w:vAlign w:val="center"/>
            <w:hideMark/>
          </w:tcPr>
          <w:p w:rsidR="001F4403" w:rsidRPr="001574EB" w:rsidRDefault="000B3AAD" w:rsidP="001574EB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7248A">
              <w:rPr>
                <w:rFonts w:asciiTheme="majorHAnsi" w:eastAsia="Times New Roman" w:hAnsiTheme="majorHAnsi" w:cstheme="majorHAnsi"/>
                <w:color w:val="212529"/>
                <w:sz w:val="16"/>
                <w:szCs w:val="16"/>
                <w:highlight w:val="yellow"/>
                <w:lang w:eastAsia="fi-FI"/>
              </w:rPr>
              <w:t>korvauksesta sovittava tapauskohtaisesti erikseen kurssin vastuuopettajan kanssa</w:t>
            </w:r>
          </w:p>
        </w:tc>
      </w:tr>
    </w:tbl>
    <w:p w:rsidR="00376D49" w:rsidRPr="00376D49" w:rsidRDefault="00376D49" w:rsidP="00362F7F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Ku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vauk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set-vä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Avainteksti</w:t>
            </w:r>
          </w:p>
        </w:tc>
        <w:tc>
          <w:tcPr>
            <w:tcW w:w="7938" w:type="dxa"/>
            <w:vAlign w:val="center"/>
            <w:hideMark/>
          </w:tcPr>
          <w:p w:rsidR="00647818" w:rsidRPr="00D6115C" w:rsidRDefault="00647818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OKL:n lisäys: tämä teksti haluttaessa</w:t>
            </w:r>
          </w:p>
          <w:p w:rsidR="00376D49" w:rsidRPr="00A41F61" w:rsidRDefault="00376D49" w:rsidP="00376D4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D6115C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Lyhyt 160 merkin mittainen opintojakson mainosteksti,</w:t>
            </w:r>
            <w:r w:rsidRPr="00D6115C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joka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 näkyy opiskelijalle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Haku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-sivulla kurssia haettaessa, sekä opintojaksoesitteellä ensimmäisenä tietona.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Esitiedot</w:t>
            </w:r>
          </w:p>
        </w:tc>
        <w:tc>
          <w:tcPr>
            <w:tcW w:w="7938" w:type="dxa"/>
            <w:vAlign w:val="center"/>
            <w:hideMark/>
          </w:tcPr>
          <w:p w:rsidR="003624C6" w:rsidRPr="003624C6" w:rsidRDefault="00C82D1D" w:rsidP="00A25453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Kasvatustieteen perusopinnot</w:t>
            </w:r>
            <w:r w:rsid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, </w:t>
            </w:r>
            <w:r w:rsidR="003624C6"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I</w:t>
            </w:r>
            <w:r w:rsidR="00BD4CB8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ntegrointi opintojaksoihin</w:t>
            </w:r>
            <w:r w:rsidR="00BD4CB8" w:rsidRPr="00A25453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OPEA</w:t>
            </w:r>
            <w:r w:rsidR="00A25453" w:rsidRPr="00A25453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4150 ja OPEA215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Pakolliset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mi(t)kä opintojakso(t) pitää olla suoritettuna, jotta opintojakson voi suorittaa.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Näistä tiedoista pystyy luomaan toteutukselle myös ilmoittautumista määrittävän tekijän. </w:t>
            </w:r>
          </w:p>
          <w:p w:rsidR="00376D49" w:rsidRPr="00A41F61" w:rsidRDefault="00376D49" w:rsidP="00376D4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lastRenderedPageBreak/>
              <w:t>Tämä ei automaattisesti tarkoita, että toteutukselle ilmoittautumista rajoitetaan esitiedon perusteella. Esitiedon voi halutessaan asettaa ilmoittautuneiden opiskelijoiden valintakriteeriksi. 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lastRenderedPageBreak/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Suositellut esitiedot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määrittää, mitä opintojaksoja olisi hyvä olla suoritettuna ennen tämän opintojakson suorittamista.</w:t>
            </w:r>
          </w:p>
          <w:p w:rsidR="00376D49" w:rsidRPr="00A41F61" w:rsidRDefault="00376D49" w:rsidP="00376D4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Tietoa voi käyttää toteutukselle ilmoittautuneiden opiskelijoiden priorisoinnissa.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Osaamistavoitteet</w:t>
            </w:r>
          </w:p>
        </w:tc>
        <w:tc>
          <w:tcPr>
            <w:tcW w:w="7938" w:type="dxa"/>
            <w:vAlign w:val="center"/>
            <w:hideMark/>
          </w:tcPr>
          <w:p w:rsidR="00C82D1D" w:rsidRPr="00A41F61" w:rsidRDefault="00C82D1D" w:rsidP="00C82D1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Opintojakson käytyään opiskelija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suunnitella, toteuttaa ja arvioida pedagogista ja oppiaineiden teoriatietoa yhdistäviä oppimiskokonaisuuksia.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ohjata ryhmän ja yksilön oppimista.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asettaa tavoitteita omalle ja oppijan kasvulle ja oppimiselle.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ymmärtää tiedon muuttuvan luonteen opetuksessa ja oppimisessa.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osaa arvioida monipuolisesti omaa ja oppijoiden toimintaa.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ymmärtää opettajan työn moninaisuuden.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pystyy kehittämään pedagogisia taitojaan moniammatillisessa yhteistyössä.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tunnistaa ja arvioi kriittisesti koulukulttuuria osana opetussuunnitelman toteutusta.</w:t>
            </w:r>
          </w:p>
          <w:p w:rsidR="003624C6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soveltaa tutkimustietoa oman opettajuutensa kehittämiseen.</w:t>
            </w:r>
          </w:p>
          <w:p w:rsidR="00376D49" w:rsidRPr="003624C6" w:rsidRDefault="003624C6" w:rsidP="003624C6">
            <w:pPr>
              <w:numPr>
                <w:ilvl w:val="0"/>
                <w:numId w:val="19"/>
              </w:numPr>
              <w:spacing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pystyy toimimaan opettajana itsenäisesti ja yhteistyössä muiden kanssa.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Asiasisältö</w:t>
            </w:r>
          </w:p>
        </w:tc>
        <w:tc>
          <w:tcPr>
            <w:tcW w:w="7938" w:type="dxa"/>
            <w:vAlign w:val="center"/>
            <w:hideMark/>
          </w:tcPr>
          <w:p w:rsidR="003624C6" w:rsidRPr="003624C6" w:rsidRDefault="003624C6" w:rsidP="003624C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osallistuu </w:t>
            </w: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usea</w:t>
            </w: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n opetuskokonaisuuden suunnitteluun, toteutukseen ja arviointiin.</w:t>
            </w:r>
          </w:p>
          <w:p w:rsidR="003624C6" w:rsidRPr="003624C6" w:rsidRDefault="003624C6" w:rsidP="003624C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oppii kohtaamaan erilaisia oppijoita ja tunnistamaan oppimisvaikeuksia.</w:t>
            </w:r>
          </w:p>
          <w:p w:rsidR="003624C6" w:rsidRPr="003624C6" w:rsidRDefault="003624C6" w:rsidP="003624C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syventää oppimisen arviointitaitojaan ja harjoittelee arviointipalautteen antamista eri muodoissa.</w:t>
            </w:r>
          </w:p>
          <w:p w:rsidR="003624C6" w:rsidRPr="003624C6" w:rsidRDefault="003624C6" w:rsidP="003624C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pohtii ja tutkii oman opetus- ja kasvatustyönsä teoreettisia, filosofisia ja eettisiä periaatteita.</w:t>
            </w:r>
          </w:p>
          <w:p w:rsidR="003624C6" w:rsidRPr="003624C6" w:rsidRDefault="003624C6" w:rsidP="003624C6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suunnittelee teoreettisiin lähtökohtiin perustuvan opetuskokeilun ja toteuttaa sen tämän opintojakson </w:t>
            </w:r>
            <w:r w:rsidRPr="003624C6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br/>
            </w:r>
          </w:p>
          <w:p w:rsidR="00376D49" w:rsidRPr="00D6115C" w:rsidRDefault="00EB346E" w:rsidP="001574EB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opettajan ydinosaamisalue</w:t>
            </w:r>
            <w:r w:rsidR="00D6115C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et: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ensisijaisesti</w:t>
            </w:r>
            <w:r w:rsid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pedagoginen osaaminen,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 vuorovaikutusosaaminen ja mon</w:t>
            </w:r>
            <w:r w:rsid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inaisuuteen liittyvä osaaminen ja </w:t>
            </w:r>
            <w:r w:rsidR="000B3AAD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 xml:space="preserve">yhteisöllinen ja yhteiskunnallinen osaaminen 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Lisätiedot</w:t>
            </w:r>
          </w:p>
        </w:tc>
        <w:tc>
          <w:tcPr>
            <w:tcW w:w="7938" w:type="dxa"/>
            <w:vAlign w:val="center"/>
            <w:hideMark/>
          </w:tcPr>
          <w:p w:rsidR="00376D49" w:rsidRPr="001574EB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1574EB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>Kaikki muu tieto, jolle ei löydy omaa kenttää.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Kentän teksti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Esite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-välilehdellä kohdassa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Kuvaus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  <w:p w:rsidR="00376D49" w:rsidRPr="00A41F61" w:rsidRDefault="00376D49" w:rsidP="00376D4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Kenttään mahtuu maks. 65000 merkkiä.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Oppimateriaalit</w:t>
            </w:r>
          </w:p>
        </w:tc>
        <w:tc>
          <w:tcPr>
            <w:tcW w:w="7938" w:type="dxa"/>
            <w:vAlign w:val="center"/>
            <w:hideMark/>
          </w:tcPr>
          <w:p w:rsidR="00376D49" w:rsidRPr="00D6115C" w:rsidRDefault="001574EB" w:rsidP="00290E6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1574EB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aineryhmäkohtaista materiaalia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376D49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Kirjallisuus</w:t>
            </w:r>
          </w:p>
        </w:tc>
        <w:tc>
          <w:tcPr>
            <w:tcW w:w="7938" w:type="dxa"/>
            <w:vAlign w:val="center"/>
            <w:hideMark/>
          </w:tcPr>
          <w:p w:rsidR="00290E62" w:rsidRPr="00A41F61" w:rsidRDefault="001574EB" w:rsidP="00290E6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</w:pPr>
            <w:r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aineryhmäkohtaista materiaalia</w:t>
            </w:r>
          </w:p>
        </w:tc>
      </w:tr>
      <w:tr w:rsidR="00376D49" w:rsidRPr="00A41F61" w:rsidTr="00362F7F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Hyväksilukuohjeet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kenttä ei ole Jyväskylän yliopistossa käytössä, sillä AHOT-prosessia ei vielä hoideta Sisussa.</w:t>
            </w:r>
          </w:p>
        </w:tc>
      </w:tr>
    </w:tbl>
    <w:p w:rsidR="00376D49" w:rsidRPr="00376D49" w:rsidRDefault="00376D49" w:rsidP="00376D49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Luo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kit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telu-vä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7938"/>
      </w:tblGrid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647818" w:rsidP="00376D49">
            <w:pPr>
              <w:spacing w:after="100" w:afterAutospacing="1" w:line="240" w:lineRule="auto"/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highlight w:val="yellow"/>
                <w:lang w:eastAsia="fi-FI"/>
              </w:rPr>
              <w:t>Mahdolliset suorituskielet</w:t>
            </w:r>
            <w:r w:rsidRPr="00A41F61">
              <w:rPr>
                <w:rFonts w:eastAsia="Times New Roman" w:cstheme="minorHAnsi"/>
                <w:b/>
                <w:color w:val="212529"/>
                <w:sz w:val="16"/>
                <w:szCs w:val="16"/>
                <w:lang w:eastAsia="fi-FI"/>
              </w:rPr>
              <w:t xml:space="preserve"> 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290E62" w:rsidP="00376D4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highlight w:val="yellow"/>
                <w:lang w:eastAsia="fi-FI"/>
              </w:rPr>
              <w:t>suomi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 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Koulutusalat</w:t>
            </w:r>
            <w:r w:rsidRPr="00A41F61">
              <w:rPr>
                <w:rFonts w:eastAsia="Times New Roman" w:cstheme="minorHAnsi"/>
                <w:b/>
                <w:bCs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Tämä on pakollinen tieto.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Valitse valikosta ohjauksen ala.</w:t>
            </w:r>
          </w:p>
          <w:p w:rsidR="00376D49" w:rsidRPr="00A41F61" w:rsidRDefault="00376D49" w:rsidP="00376D4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Ohjausala on raportoinnissa ja tiedonkeruissa tarvittava tieto.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(Opintojakson taso)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290E6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Aineopinnot</w:t>
            </w:r>
          </w:p>
        </w:tc>
      </w:tr>
      <w:tr w:rsidR="00376D49" w:rsidRPr="00A41F61" w:rsidTr="005730C5">
        <w:tc>
          <w:tcPr>
            <w:tcW w:w="2122" w:type="dxa"/>
            <w:vAlign w:val="center"/>
            <w:hideMark/>
          </w:tcPr>
          <w:p w:rsidR="00376D49" w:rsidRPr="00A41F61" w:rsidRDefault="00AE7C4B" w:rsidP="00376D49">
            <w:pPr>
              <w:spacing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(</w:t>
            </w:r>
            <w:r w:rsidR="00376D49"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CEFR-taso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)</w:t>
            </w:r>
          </w:p>
        </w:tc>
        <w:tc>
          <w:tcPr>
            <w:tcW w:w="7938" w:type="dxa"/>
            <w:vAlign w:val="center"/>
            <w:hideMark/>
          </w:tcPr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Voit valita opintojakson Eurooppalaisen viitekehyksen mukaisen kielitaitotason.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Oleellinen viestintä- ja kieliopinnoissa.</w:t>
            </w:r>
          </w:p>
          <w:p w:rsidR="00376D49" w:rsidRPr="00A41F61" w:rsidRDefault="00376D49" w:rsidP="00376D4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</w:pP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 xml:space="preserve">Tämä näkyy opiskelijalle opintojaksoesitteen 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Perustiedot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-välilehdellä kohdassa </w:t>
            </w:r>
            <w:r w:rsidRPr="00A41F61">
              <w:rPr>
                <w:rFonts w:eastAsia="Times New Roman" w:cstheme="minorHAnsi"/>
                <w:i/>
                <w:iCs/>
                <w:color w:val="212529"/>
                <w:sz w:val="16"/>
                <w:szCs w:val="16"/>
                <w:lang w:eastAsia="fi-FI"/>
              </w:rPr>
              <w:t>Luokittelu</w:t>
            </w:r>
            <w:r w:rsidRPr="00A41F61">
              <w:rPr>
                <w:rFonts w:eastAsia="Times New Roman" w:cstheme="minorHAnsi"/>
                <w:color w:val="212529"/>
                <w:sz w:val="16"/>
                <w:szCs w:val="16"/>
                <w:lang w:eastAsia="fi-FI"/>
              </w:rPr>
              <w:t>.</w:t>
            </w:r>
          </w:p>
        </w:tc>
      </w:tr>
    </w:tbl>
    <w:p w:rsidR="00376D49" w:rsidRDefault="00376D49" w:rsidP="00E53522">
      <w:pPr>
        <w:spacing w:after="100" w:afterAutospacing="1" w:line="240" w:lineRule="auto"/>
        <w:outlineLvl w:val="2"/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</w:pP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lastRenderedPageBreak/>
        <w:t>Suo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ri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tus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ta</w:t>
      </w:r>
      <w:r w:rsidRPr="00376D49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 xml:space="preserve">vat 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t>ja arviointikohteet -vä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li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leh</w:t>
      </w:r>
      <w:r w:rsidR="007D04EF">
        <w:rPr>
          <w:rFonts w:ascii="inherit" w:eastAsia="Times New Roman" w:hAnsi="inherit" w:cs="Arial"/>
          <w:b/>
          <w:color w:val="212529"/>
          <w:sz w:val="27"/>
          <w:szCs w:val="27"/>
          <w:lang w:eastAsia="fi-FI"/>
        </w:rPr>
        <w:softHyphen/>
        <w:t>det</w:t>
      </w:r>
    </w:p>
    <w:p w:rsidR="00BD4CB8" w:rsidRPr="00BD4CB8" w:rsidRDefault="00BD4CB8" w:rsidP="00BD4CB8">
      <w:pPr>
        <w:pStyle w:val="ListParagraph"/>
        <w:numPr>
          <w:ilvl w:val="0"/>
          <w:numId w:val="34"/>
        </w:num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</w:pPr>
      <w:r w:rsidRPr="00BD4CB8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Opetuskokonaisuuksien suunnittelu, toteutus ja arviointi.</w:t>
      </w:r>
    </w:p>
    <w:p w:rsidR="00BD4CB8" w:rsidRDefault="00BD4CB8" w:rsidP="00BD4CB8">
      <w:pPr>
        <w:pStyle w:val="ListParagraph"/>
        <w:numPr>
          <w:ilvl w:val="0"/>
          <w:numId w:val="34"/>
        </w:num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</w:pPr>
      <w:r w:rsidRPr="00BD4CB8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Omaa opetusta 12-15 opetuskertaa.</w:t>
      </w:r>
    </w:p>
    <w:p w:rsidR="00290E62" w:rsidRPr="00A25453" w:rsidRDefault="00A25453" w:rsidP="00A25453">
      <w:pPr>
        <w:pStyle w:val="ListParagraph"/>
        <w:numPr>
          <w:ilvl w:val="0"/>
          <w:numId w:val="34"/>
        </w:numPr>
        <w:spacing w:after="100" w:afterAutospacing="1" w:line="240" w:lineRule="auto"/>
        <w:outlineLvl w:val="2"/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</w:pPr>
      <w:r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Opintojakso voi sisältää 2op osion toisessa opetettavassa aineessa</w:t>
      </w:r>
      <w:r w:rsidR="00BD4CB8" w:rsidRPr="00A25453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 xml:space="preserve"> (edeltävät opinnot vähintään 25 op) Normaalikoulun </w:t>
      </w:r>
      <w:r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vuosi</w:t>
      </w:r>
      <w:r w:rsidR="00BD4CB8" w:rsidRPr="00A25453"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 xml:space="preserve">suunnitelman </w:t>
      </w:r>
      <w:r>
        <w:rPr>
          <w:rFonts w:asciiTheme="majorHAnsi" w:eastAsia="Times New Roman" w:hAnsiTheme="majorHAnsi" w:cstheme="majorHAnsi"/>
          <w:b/>
          <w:color w:val="212529"/>
          <w:sz w:val="16"/>
          <w:szCs w:val="16"/>
          <w:highlight w:val="yellow"/>
          <w:lang w:eastAsia="fi-FI"/>
        </w:rPr>
        <w:t>mukaisena.</w:t>
      </w:r>
      <w:bookmarkStart w:id="0" w:name="_GoBack"/>
      <w:bookmarkEnd w:id="0"/>
    </w:p>
    <w:sectPr w:rsidR="00290E62" w:rsidRPr="00A25453" w:rsidSect="00E5352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F6A" w:rsidRDefault="002E3F6A" w:rsidP="002E3F6A">
      <w:pPr>
        <w:spacing w:after="0" w:line="240" w:lineRule="auto"/>
      </w:pPr>
      <w:r>
        <w:separator/>
      </w:r>
    </w:p>
  </w:endnote>
  <w:end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F6A" w:rsidRDefault="002E3F6A" w:rsidP="002E3F6A">
      <w:pPr>
        <w:spacing w:after="0" w:line="240" w:lineRule="auto"/>
      </w:pPr>
      <w:r>
        <w:separator/>
      </w:r>
    </w:p>
  </w:footnote>
  <w:footnote w:type="continuationSeparator" w:id="0">
    <w:p w:rsidR="002E3F6A" w:rsidRDefault="002E3F6A" w:rsidP="002E3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7050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2E3F6A" w:rsidRDefault="002E3F6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54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E3F6A" w:rsidRDefault="002E3F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6234"/>
    <w:multiLevelType w:val="multilevel"/>
    <w:tmpl w:val="7D72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998"/>
    <w:multiLevelType w:val="multilevel"/>
    <w:tmpl w:val="C14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243D"/>
    <w:multiLevelType w:val="multilevel"/>
    <w:tmpl w:val="E3B4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81C39"/>
    <w:multiLevelType w:val="multilevel"/>
    <w:tmpl w:val="DF3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E7F66"/>
    <w:multiLevelType w:val="multilevel"/>
    <w:tmpl w:val="7DC0C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B397C"/>
    <w:multiLevelType w:val="multilevel"/>
    <w:tmpl w:val="03F8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DF7AE3"/>
    <w:multiLevelType w:val="multilevel"/>
    <w:tmpl w:val="37E2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D08F6"/>
    <w:multiLevelType w:val="multilevel"/>
    <w:tmpl w:val="E99C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F50147"/>
    <w:multiLevelType w:val="multilevel"/>
    <w:tmpl w:val="6B8A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423F2"/>
    <w:multiLevelType w:val="multilevel"/>
    <w:tmpl w:val="7DC0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E410BD"/>
    <w:multiLevelType w:val="multilevel"/>
    <w:tmpl w:val="C2BE7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53723"/>
    <w:multiLevelType w:val="multilevel"/>
    <w:tmpl w:val="EBB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D6ADC"/>
    <w:multiLevelType w:val="multilevel"/>
    <w:tmpl w:val="707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B3069B"/>
    <w:multiLevelType w:val="hybridMultilevel"/>
    <w:tmpl w:val="3A9866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5C6F80"/>
    <w:multiLevelType w:val="multilevel"/>
    <w:tmpl w:val="843C6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6956F8"/>
    <w:multiLevelType w:val="hybridMultilevel"/>
    <w:tmpl w:val="3E72205E"/>
    <w:lvl w:ilvl="0" w:tplc="09C4E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C00C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AE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A0E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0436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A8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4C48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E43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8E5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8B351D3"/>
    <w:multiLevelType w:val="multilevel"/>
    <w:tmpl w:val="B4E8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A3668"/>
    <w:multiLevelType w:val="hybridMultilevel"/>
    <w:tmpl w:val="E6E6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B51231"/>
    <w:multiLevelType w:val="multilevel"/>
    <w:tmpl w:val="2210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4722D"/>
    <w:multiLevelType w:val="multilevel"/>
    <w:tmpl w:val="F48EA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7035AE"/>
    <w:multiLevelType w:val="hybridMultilevel"/>
    <w:tmpl w:val="04628190"/>
    <w:lvl w:ilvl="0" w:tplc="0A98D7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CA8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F629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D80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F4A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D20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C07B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D8F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830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4E4777C"/>
    <w:multiLevelType w:val="multilevel"/>
    <w:tmpl w:val="4F0CD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79D67CD"/>
    <w:multiLevelType w:val="multilevel"/>
    <w:tmpl w:val="E5300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D36C4C"/>
    <w:multiLevelType w:val="multilevel"/>
    <w:tmpl w:val="DC1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C45CB"/>
    <w:multiLevelType w:val="multilevel"/>
    <w:tmpl w:val="917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0F67B9"/>
    <w:multiLevelType w:val="multilevel"/>
    <w:tmpl w:val="0368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92698B"/>
    <w:multiLevelType w:val="multilevel"/>
    <w:tmpl w:val="A800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983136"/>
    <w:multiLevelType w:val="multilevel"/>
    <w:tmpl w:val="29BEE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9E95BB7"/>
    <w:multiLevelType w:val="multilevel"/>
    <w:tmpl w:val="688A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DE2BD1"/>
    <w:multiLevelType w:val="multilevel"/>
    <w:tmpl w:val="454CF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F54B8"/>
    <w:multiLevelType w:val="multilevel"/>
    <w:tmpl w:val="C770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01854"/>
    <w:multiLevelType w:val="multilevel"/>
    <w:tmpl w:val="2E60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D496A"/>
    <w:multiLevelType w:val="multilevel"/>
    <w:tmpl w:val="363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251363"/>
    <w:multiLevelType w:val="multilevel"/>
    <w:tmpl w:val="DA98B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6"/>
  </w:num>
  <w:num w:numId="3">
    <w:abstractNumId w:val="10"/>
  </w:num>
  <w:num w:numId="4">
    <w:abstractNumId w:val="23"/>
  </w:num>
  <w:num w:numId="5">
    <w:abstractNumId w:val="3"/>
  </w:num>
  <w:num w:numId="6">
    <w:abstractNumId w:val="26"/>
  </w:num>
  <w:num w:numId="7">
    <w:abstractNumId w:val="0"/>
  </w:num>
  <w:num w:numId="8">
    <w:abstractNumId w:val="12"/>
  </w:num>
  <w:num w:numId="9">
    <w:abstractNumId w:val="33"/>
  </w:num>
  <w:num w:numId="10">
    <w:abstractNumId w:val="18"/>
  </w:num>
  <w:num w:numId="11">
    <w:abstractNumId w:val="5"/>
  </w:num>
  <w:num w:numId="12">
    <w:abstractNumId w:val="8"/>
  </w:num>
  <w:num w:numId="13">
    <w:abstractNumId w:val="4"/>
  </w:num>
  <w:num w:numId="14">
    <w:abstractNumId w:val="19"/>
  </w:num>
  <w:num w:numId="15">
    <w:abstractNumId w:val="28"/>
  </w:num>
  <w:num w:numId="16">
    <w:abstractNumId w:val="14"/>
  </w:num>
  <w:num w:numId="17">
    <w:abstractNumId w:val="31"/>
  </w:num>
  <w:num w:numId="18">
    <w:abstractNumId w:val="11"/>
  </w:num>
  <w:num w:numId="19">
    <w:abstractNumId w:val="2"/>
  </w:num>
  <w:num w:numId="20">
    <w:abstractNumId w:val="30"/>
  </w:num>
  <w:num w:numId="21">
    <w:abstractNumId w:val="16"/>
  </w:num>
  <w:num w:numId="22">
    <w:abstractNumId w:val="24"/>
  </w:num>
  <w:num w:numId="23">
    <w:abstractNumId w:val="7"/>
  </w:num>
  <w:num w:numId="24">
    <w:abstractNumId w:val="29"/>
  </w:num>
  <w:num w:numId="25">
    <w:abstractNumId w:val="27"/>
  </w:num>
  <w:num w:numId="26">
    <w:abstractNumId w:val="1"/>
  </w:num>
  <w:num w:numId="27">
    <w:abstractNumId w:val="21"/>
  </w:num>
  <w:num w:numId="28">
    <w:abstractNumId w:val="25"/>
  </w:num>
  <w:num w:numId="29">
    <w:abstractNumId w:val="32"/>
  </w:num>
  <w:num w:numId="30">
    <w:abstractNumId w:val="9"/>
  </w:num>
  <w:num w:numId="31">
    <w:abstractNumId w:val="13"/>
  </w:num>
  <w:num w:numId="32">
    <w:abstractNumId w:val="15"/>
  </w:num>
  <w:num w:numId="33">
    <w:abstractNumId w:val="2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32"/>
    <w:rsid w:val="000B3AAD"/>
    <w:rsid w:val="000C7BB4"/>
    <w:rsid w:val="00117531"/>
    <w:rsid w:val="001574EB"/>
    <w:rsid w:val="001F4403"/>
    <w:rsid w:val="00212ACF"/>
    <w:rsid w:val="0025516B"/>
    <w:rsid w:val="0025522F"/>
    <w:rsid w:val="0028043E"/>
    <w:rsid w:val="00290E62"/>
    <w:rsid w:val="002E3F6A"/>
    <w:rsid w:val="003624C6"/>
    <w:rsid w:val="00362F7F"/>
    <w:rsid w:val="0037248A"/>
    <w:rsid w:val="0037340E"/>
    <w:rsid w:val="0037658E"/>
    <w:rsid w:val="00376D49"/>
    <w:rsid w:val="003F19A8"/>
    <w:rsid w:val="004A5571"/>
    <w:rsid w:val="00556C0D"/>
    <w:rsid w:val="005730C5"/>
    <w:rsid w:val="00587DB2"/>
    <w:rsid w:val="005D3591"/>
    <w:rsid w:val="005F4621"/>
    <w:rsid w:val="00647818"/>
    <w:rsid w:val="006D7DD3"/>
    <w:rsid w:val="006E745F"/>
    <w:rsid w:val="007044A5"/>
    <w:rsid w:val="0071522A"/>
    <w:rsid w:val="00780447"/>
    <w:rsid w:val="007D04EF"/>
    <w:rsid w:val="007E6475"/>
    <w:rsid w:val="00837E3D"/>
    <w:rsid w:val="00842F32"/>
    <w:rsid w:val="0084553D"/>
    <w:rsid w:val="008B1C51"/>
    <w:rsid w:val="008F06E6"/>
    <w:rsid w:val="009D7082"/>
    <w:rsid w:val="00A25453"/>
    <w:rsid w:val="00A276B4"/>
    <w:rsid w:val="00A41F61"/>
    <w:rsid w:val="00A5447C"/>
    <w:rsid w:val="00A664DE"/>
    <w:rsid w:val="00AC74DC"/>
    <w:rsid w:val="00AE7C4B"/>
    <w:rsid w:val="00BA1015"/>
    <w:rsid w:val="00BD4CB8"/>
    <w:rsid w:val="00C00970"/>
    <w:rsid w:val="00C82D1D"/>
    <w:rsid w:val="00CC684B"/>
    <w:rsid w:val="00D06ADE"/>
    <w:rsid w:val="00D4403B"/>
    <w:rsid w:val="00D6115C"/>
    <w:rsid w:val="00DD07BB"/>
    <w:rsid w:val="00E53522"/>
    <w:rsid w:val="00E63C85"/>
    <w:rsid w:val="00E9202C"/>
    <w:rsid w:val="00EB346E"/>
    <w:rsid w:val="00EC0911"/>
    <w:rsid w:val="00F762FF"/>
    <w:rsid w:val="00FA496D"/>
    <w:rsid w:val="00FB1496"/>
    <w:rsid w:val="00FC4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9330"/>
  <w15:chartTrackingRefBased/>
  <w15:docId w15:val="{4D878886-CD46-4A72-9355-DFE7A529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F6A"/>
  </w:style>
  <w:style w:type="paragraph" w:styleId="Footer">
    <w:name w:val="footer"/>
    <w:basedOn w:val="Normal"/>
    <w:link w:val="FooterChar"/>
    <w:uiPriority w:val="99"/>
    <w:unhideWhenUsed/>
    <w:rsid w:val="002E3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F6A"/>
  </w:style>
  <w:style w:type="character" w:styleId="Hyperlink">
    <w:name w:val="Hyperlink"/>
    <w:basedOn w:val="DefaultParagraphFont"/>
    <w:uiPriority w:val="99"/>
    <w:semiHidden/>
    <w:unhideWhenUsed/>
    <w:rsid w:val="00A664D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30C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C0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6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30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413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5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91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8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1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5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3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1412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yu.fi/digipalvelut/fi/ohjeet/sisu-ohjeet/opetussuunnitelmatyo/opintojakson-tyypin-valin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545</Words>
  <Characters>4418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Nyyssönen, Tiina</dc:creator>
  <cp:keywords/>
  <dc:description/>
  <cp:lastModifiedBy>Lauritsalo, Kirsti</cp:lastModifiedBy>
  <cp:revision>4</cp:revision>
  <dcterms:created xsi:type="dcterms:W3CDTF">2019-11-28T12:13:00Z</dcterms:created>
  <dcterms:modified xsi:type="dcterms:W3CDTF">2020-02-03T08:32:00Z</dcterms:modified>
</cp:coreProperties>
</file>