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90F" w14:textId="62958F9A" w:rsidR="001B1795" w:rsidRPr="001B1795" w:rsidRDefault="001B1795" w:rsidP="004D78FC">
      <w:pPr>
        <w:rPr>
          <w:lang w:val="fi-FI"/>
        </w:rPr>
      </w:pPr>
      <w:bookmarkStart w:id="0" w:name="_GoBack"/>
      <w:bookmarkEnd w:id="0"/>
      <w:r w:rsidRPr="001B1795">
        <w:rPr>
          <w:lang w:val="fi-FI"/>
        </w:rPr>
        <w:t>Kasvatustieteiden ja psykologian tie</w:t>
      </w:r>
      <w:r>
        <w:rPr>
          <w:lang w:val="fi-FI"/>
        </w:rPr>
        <w:t>dekunnan kv-strategian LUONNOS</w:t>
      </w:r>
    </w:p>
    <w:p w14:paraId="5E5787A5" w14:textId="1C3DAE3E" w:rsidR="00F1417C" w:rsidRDefault="00EA493F" w:rsidP="004D78FC">
      <w:pPr>
        <w:pStyle w:val="Luettelokappale"/>
        <w:numPr>
          <w:ilvl w:val="0"/>
          <w:numId w:val="1"/>
        </w:numPr>
      </w:pPr>
      <w:r>
        <w:t>–</w:t>
      </w:r>
      <w:commentRangeStart w:id="1"/>
      <w:r w:rsidR="42C5A6E5">
        <w:t>tavoite</w:t>
      </w:r>
      <w:commentRangeEnd w:id="1"/>
      <w:r w:rsidR="259AD306">
        <w:rPr>
          <w:rStyle w:val="Kommentinviite"/>
        </w:rPr>
        <w:commentReference w:id="1"/>
      </w:r>
      <w:r w:rsidR="42C5A6E5">
        <w:t>: “KANSAINVÄLISTYNYT TUTKIMUSTOIMINTA”</w:t>
      </w:r>
    </w:p>
    <w:tbl>
      <w:tblPr>
        <w:tblStyle w:val="TaulukkoRuudukko"/>
        <w:tblW w:w="21057" w:type="dxa"/>
        <w:tblLook w:val="04A0" w:firstRow="1" w:lastRow="0" w:firstColumn="1" w:lastColumn="0" w:noHBand="0" w:noVBand="1"/>
      </w:tblPr>
      <w:tblGrid>
        <w:gridCol w:w="3569"/>
        <w:gridCol w:w="8900"/>
        <w:gridCol w:w="4914"/>
        <w:gridCol w:w="3674"/>
      </w:tblGrid>
      <w:tr w:rsidR="0085692A" w14:paraId="3E99903A" w14:textId="77777777" w:rsidTr="42C5A6E5">
        <w:trPr>
          <w:trHeight w:val="262"/>
        </w:trPr>
        <w:tc>
          <w:tcPr>
            <w:tcW w:w="3569" w:type="dxa"/>
          </w:tcPr>
          <w:p w14:paraId="2E28CF2C" w14:textId="63E1DB82" w:rsidR="0085692A" w:rsidRDefault="0085692A" w:rsidP="00ED22B1">
            <w:r>
              <w:t>STRATEGINEN TAVOITE</w:t>
            </w:r>
          </w:p>
        </w:tc>
        <w:tc>
          <w:tcPr>
            <w:tcW w:w="8900" w:type="dxa"/>
          </w:tcPr>
          <w:p w14:paraId="6EA0A725" w14:textId="26399ADC" w:rsidR="0085692A" w:rsidRDefault="2CBD9766" w:rsidP="00ED22B1">
            <w:commentRangeStart w:id="2"/>
            <w:r>
              <w:t>ODOTETTU TULOS</w:t>
            </w:r>
            <w:commentRangeEnd w:id="2"/>
            <w:r w:rsidR="0085692A">
              <w:commentReference w:id="2"/>
            </w:r>
          </w:p>
        </w:tc>
        <w:tc>
          <w:tcPr>
            <w:tcW w:w="4914" w:type="dxa"/>
          </w:tcPr>
          <w:p w14:paraId="0F78B7D0" w14:textId="68D9135E" w:rsidR="0085692A" w:rsidRDefault="0085692A" w:rsidP="00ED22B1">
            <w:r>
              <w:t>TOIMENPITEET</w:t>
            </w:r>
          </w:p>
        </w:tc>
        <w:tc>
          <w:tcPr>
            <w:tcW w:w="3674" w:type="dxa"/>
          </w:tcPr>
          <w:p w14:paraId="24392051" w14:textId="4717BACA" w:rsidR="0085692A" w:rsidRDefault="0085692A" w:rsidP="00ED22B1">
            <w:r>
              <w:t>TYÖKALUT</w:t>
            </w:r>
          </w:p>
        </w:tc>
      </w:tr>
      <w:tr w:rsidR="0085692A" w:rsidRPr="00EA493F" w14:paraId="754A9212" w14:textId="77777777" w:rsidTr="42C5A6E5">
        <w:trPr>
          <w:trHeight w:val="2875"/>
        </w:trPr>
        <w:tc>
          <w:tcPr>
            <w:tcW w:w="3569" w:type="dxa"/>
          </w:tcPr>
          <w:p w14:paraId="350491F6" w14:textId="1E2368EF" w:rsidR="0085692A" w:rsidRPr="00597608" w:rsidRDefault="5F95D855" w:rsidP="4E4F8A3F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E4F8A3F" w:rsidRPr="4E4F8A3F">
              <w:rPr>
                <w:lang w:val="fi-FI"/>
              </w:rPr>
              <w:t>Kansainvälinen tutkimusyhteistyön ja verkostoitumisen lisääminen</w:t>
            </w:r>
          </w:p>
        </w:tc>
        <w:tc>
          <w:tcPr>
            <w:tcW w:w="8900" w:type="dxa"/>
          </w:tcPr>
          <w:p w14:paraId="49914ABE" w14:textId="5CF7520F" w:rsidR="4E4F8A3F" w:rsidRDefault="4E4F8A3F" w:rsidP="4E4F8A3F">
            <w:pPr>
              <w:rPr>
                <w:rFonts w:ascii="Calibri" w:eastAsia="Calibri" w:hAnsi="Calibri" w:cs="Calibri"/>
                <w:lang w:val="fi-FI"/>
              </w:rPr>
            </w:pPr>
          </w:p>
          <w:p w14:paraId="6F67F782" w14:textId="5C458276" w:rsidR="0085692A" w:rsidRPr="00597608" w:rsidRDefault="4E4F8A3F" w:rsidP="4E4F8A3F">
            <w:pPr>
              <w:rPr>
                <w:lang w:val="fi-FI"/>
              </w:rPr>
            </w:pPr>
            <w:r w:rsidRPr="4E4F8A3F">
              <w:rPr>
                <w:rFonts w:ascii="Calibri" w:eastAsia="Calibri" w:hAnsi="Calibri" w:cs="Calibri"/>
                <w:lang w:val="fi-FI"/>
              </w:rPr>
              <w:t>Tiedekuntamme henkilökunta osallistuu kansainväliseen monitieteiseen tutkimusyhteistyöhön.</w:t>
            </w:r>
          </w:p>
          <w:p w14:paraId="68E7FA73" w14:textId="558F6698" w:rsidR="5CC7F683" w:rsidRDefault="5CC7F683" w:rsidP="5CC7F683">
            <w:pPr>
              <w:rPr>
                <w:rFonts w:ascii="Calibri" w:eastAsia="Calibri" w:hAnsi="Calibri" w:cs="Calibri"/>
                <w:lang w:val="fi-FI"/>
              </w:rPr>
            </w:pPr>
          </w:p>
          <w:p w14:paraId="1FCD6F69" w14:textId="5ABC8978" w:rsidR="0085692A" w:rsidRPr="00597608" w:rsidRDefault="0085692A" w:rsidP="5CC7F683">
            <w:pPr>
              <w:rPr>
                <w:rFonts w:ascii="Calibri" w:eastAsia="Calibri" w:hAnsi="Calibri" w:cs="Calibri"/>
                <w:lang w:val="fi-FI"/>
              </w:rPr>
            </w:pPr>
          </w:p>
          <w:p w14:paraId="01FD1010" w14:textId="0523BB2E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67D191F8" w14:textId="5FCDD44B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384151DA" w14:textId="62F89E0C" w:rsidR="0085692A" w:rsidRPr="00597608" w:rsidRDefault="0085692A" w:rsidP="4E4F8A3F">
            <w:pPr>
              <w:rPr>
                <w:lang w:val="fi-FI"/>
              </w:rPr>
            </w:pPr>
            <w:commentRangeStart w:id="3"/>
            <w:commentRangeEnd w:id="3"/>
            <w:r>
              <w:rPr>
                <w:rStyle w:val="Kommentinviite"/>
              </w:rPr>
              <w:commentReference w:id="3"/>
            </w:r>
            <w:r w:rsidR="4E4F8A3F" w:rsidRPr="4E4F8A3F">
              <w:rPr>
                <w:rFonts w:ascii="Calibri" w:eastAsia="Calibri" w:hAnsi="Calibri" w:cs="Calibri"/>
                <w:lang w:val="fi-FI"/>
              </w:rPr>
              <w:t>Tutkijat ovat kansainvälisesti verkostoituneita ja kansainvälisten yhteisjulkaisujen määrä on kasvanut.</w:t>
            </w:r>
          </w:p>
          <w:p w14:paraId="0B604A22" w14:textId="54D19A4A" w:rsidR="0085692A" w:rsidRPr="00597608" w:rsidRDefault="0085692A" w:rsidP="4E4F8A3F">
            <w:pPr>
              <w:rPr>
                <w:rFonts w:ascii="Calibri" w:eastAsia="Calibri" w:hAnsi="Calibri" w:cs="Calibri"/>
                <w:i/>
                <w:iCs/>
                <w:highlight w:val="yellow"/>
                <w:lang w:val="fi-FI"/>
              </w:rPr>
            </w:pPr>
          </w:p>
        </w:tc>
        <w:tc>
          <w:tcPr>
            <w:tcW w:w="4914" w:type="dxa"/>
          </w:tcPr>
          <w:p w14:paraId="4654F3C8" w14:textId="229B794C" w:rsidR="0085692A" w:rsidRPr="00597608" w:rsidRDefault="0085692A" w:rsidP="2CBD9766">
            <w:pPr>
              <w:rPr>
                <w:lang w:val="fi-FI"/>
              </w:rPr>
            </w:pPr>
          </w:p>
          <w:p w14:paraId="7EA8A206" w14:textId="12488C6B" w:rsidR="0085692A" w:rsidRPr="00597608" w:rsidRDefault="4E4F8A3F" w:rsidP="4E4F8A3F">
            <w:pPr>
              <w:rPr>
                <w:lang w:val="fi-FI"/>
              </w:rPr>
            </w:pPr>
            <w:r w:rsidRPr="4E4F8A3F">
              <w:rPr>
                <w:lang w:val="fi-FI"/>
              </w:rPr>
              <w:t>Kansainvälistyminen ja kansainvälinen yhteistyö tutkimuskohteena</w:t>
            </w:r>
            <w:r w:rsidR="5CC7F683" w:rsidRPr="00EA493F">
              <w:rPr>
                <w:lang w:val="fi-FI"/>
              </w:rPr>
              <w:br/>
            </w:r>
            <w:r w:rsidR="5CC7F683" w:rsidRPr="00EA493F">
              <w:rPr>
                <w:lang w:val="fi-FI"/>
              </w:rPr>
              <w:br/>
            </w:r>
            <w:r w:rsidRPr="4E4F8A3F">
              <w:rPr>
                <w:lang w:val="fi-FI"/>
              </w:rPr>
              <w:t>Yhteistyö muiden suomalaisten toimijoiden kanssa</w:t>
            </w:r>
          </w:p>
          <w:p w14:paraId="56743049" w14:textId="10FC956F" w:rsidR="0085692A" w:rsidRPr="00597608" w:rsidRDefault="0085692A" w:rsidP="5CC7F683">
            <w:pPr>
              <w:rPr>
                <w:lang w:val="fi-FI"/>
              </w:rPr>
            </w:pPr>
          </w:p>
          <w:p w14:paraId="69253607" w14:textId="34C2C238" w:rsidR="0085692A" w:rsidRPr="00597608" w:rsidRDefault="42C5A6E5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t xml:space="preserve">Tiedekunta tukee aktiivisesti henkilökunnan kansainvälistä verkostoitumista. </w:t>
            </w:r>
            <w:r w:rsidR="2CBD9766" w:rsidRPr="00EA493F">
              <w:rPr>
                <w:lang w:val="fi-FI"/>
              </w:rPr>
              <w:br/>
            </w:r>
            <w:r w:rsidR="2CBD9766" w:rsidRPr="00EA493F">
              <w:rPr>
                <w:lang w:val="fi-FI"/>
              </w:rPr>
              <w:br/>
            </w:r>
            <w:r w:rsidR="2CBD9766" w:rsidRPr="00EA493F">
              <w:rPr>
                <w:lang w:val="fi-FI"/>
              </w:rPr>
              <w:br/>
            </w:r>
          </w:p>
          <w:p w14:paraId="0808C3EF" w14:textId="040ECFF7" w:rsidR="0085692A" w:rsidRPr="00597608" w:rsidRDefault="0085692A" w:rsidP="5CC7F683">
            <w:pPr>
              <w:rPr>
                <w:lang w:val="fi-FI"/>
              </w:rPr>
            </w:pPr>
          </w:p>
        </w:tc>
        <w:tc>
          <w:tcPr>
            <w:tcW w:w="3674" w:type="dxa"/>
          </w:tcPr>
          <w:p w14:paraId="4FD80E32" w14:textId="25B14AB1" w:rsidR="0085692A" w:rsidRPr="00597608" w:rsidRDefault="0085692A" w:rsidP="00ED22B1">
            <w:pPr>
              <w:rPr>
                <w:lang w:val="fi-FI"/>
              </w:rPr>
            </w:pPr>
          </w:p>
          <w:p w14:paraId="48049B73" w14:textId="1F4B1275" w:rsidR="0085692A" w:rsidRPr="00597608" w:rsidRDefault="5CC7F683" w:rsidP="5CC7F683">
            <w:pPr>
              <w:rPr>
                <w:lang w:val="fi-FI"/>
              </w:rPr>
            </w:pPr>
            <w:r w:rsidRPr="5CC7F683">
              <w:rPr>
                <w:lang w:val="fi-FI"/>
              </w:rPr>
              <w:t>Tiedekunnan oma kohdennettu rahoitus</w:t>
            </w:r>
          </w:p>
          <w:p w14:paraId="11F57E8B" w14:textId="14D3694A" w:rsidR="5CC7F683" w:rsidRDefault="5CC7F683" w:rsidP="5CC7F683">
            <w:pPr>
              <w:rPr>
                <w:lang w:val="fi-FI"/>
              </w:rPr>
            </w:pPr>
          </w:p>
          <w:p w14:paraId="5AFC1D25" w14:textId="7C94E74A" w:rsidR="42C5A6E5" w:rsidRDefault="42C5A6E5" w:rsidP="42C5A6E5">
            <w:pPr>
              <w:rPr>
                <w:lang w:val="fi-FI"/>
              </w:rPr>
            </w:pPr>
          </w:p>
          <w:p w14:paraId="0BD4A6AC" w14:textId="43885DA2" w:rsidR="42C5A6E5" w:rsidRDefault="42C5A6E5" w:rsidP="42C5A6E5">
            <w:pPr>
              <w:rPr>
                <w:lang w:val="fi-FI"/>
              </w:rPr>
            </w:pPr>
          </w:p>
          <w:p w14:paraId="53516989" w14:textId="3DF28BCC" w:rsidR="0085692A" w:rsidRPr="00597608" w:rsidRDefault="5CC7F683" w:rsidP="5CC7F683">
            <w:pPr>
              <w:rPr>
                <w:lang w:val="fi-FI"/>
              </w:rPr>
            </w:pPr>
            <w:r w:rsidRPr="5CC7F683">
              <w:rPr>
                <w:lang w:val="fi-FI"/>
              </w:rPr>
              <w:t>Erilaiset rahoitusmahdollisuudet, ml. Erasmus+ avaintoimi</w:t>
            </w:r>
            <w:r w:rsidR="009D38FD">
              <w:rPr>
                <w:lang w:val="fi-FI"/>
              </w:rPr>
              <w:t xml:space="preserve"> 1 ja 2 + muut hankerahoitukset.</w:t>
            </w:r>
            <w:r w:rsidR="009D38FD">
              <w:rPr>
                <w:lang w:val="fi-FI"/>
              </w:rPr>
              <w:br/>
              <w:t xml:space="preserve">Kohdennettu rahoitus kansainvälisiin konferensseihin osallistumiseksi ja </w:t>
            </w:r>
            <w:r w:rsidR="004F5B44">
              <w:rPr>
                <w:lang w:val="fi-FI"/>
              </w:rPr>
              <w:t xml:space="preserve">yhteisjulkaisujen valmisteluun. </w:t>
            </w:r>
          </w:p>
        </w:tc>
      </w:tr>
      <w:tr w:rsidR="0085692A" w:rsidRPr="008457B4" w14:paraId="668FA782" w14:textId="77777777" w:rsidTr="42C5A6E5">
        <w:trPr>
          <w:trHeight w:val="2611"/>
        </w:trPr>
        <w:tc>
          <w:tcPr>
            <w:tcW w:w="3569" w:type="dxa"/>
          </w:tcPr>
          <w:p w14:paraId="10A77051" w14:textId="5458E856" w:rsidR="0085692A" w:rsidRPr="00597608" w:rsidRDefault="0085692A" w:rsidP="4E4F8A3F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E4F8A3F" w:rsidRPr="4E4F8A3F">
              <w:rPr>
                <w:lang w:val="fi-FI"/>
              </w:rPr>
              <w:t xml:space="preserve">Kansainvälisten tutkimusvierailuiden edistäminen </w:t>
            </w:r>
          </w:p>
        </w:tc>
        <w:tc>
          <w:tcPr>
            <w:tcW w:w="8900" w:type="dxa"/>
          </w:tcPr>
          <w:p w14:paraId="53F7412C" w14:textId="6F0BE506" w:rsidR="5CC7F683" w:rsidRDefault="5CC7F683" w:rsidP="42C5A6E5">
            <w:pPr>
              <w:rPr>
                <w:rFonts w:ascii="Calibri" w:eastAsia="Calibri" w:hAnsi="Calibri" w:cs="Calibri"/>
                <w:lang w:val="fi-FI"/>
              </w:rPr>
            </w:pPr>
            <w:r w:rsidRPr="00EA493F">
              <w:rPr>
                <w:lang w:val="fi-FI"/>
              </w:rPr>
              <w:br/>
            </w:r>
            <w:r w:rsidR="42C5A6E5" w:rsidRPr="42C5A6E5">
              <w:rPr>
                <w:rFonts w:ascii="Calibri" w:eastAsia="Calibri" w:hAnsi="Calibri" w:cs="Calibri"/>
                <w:lang w:val="fi-FI"/>
              </w:rPr>
              <w:t xml:space="preserve">Tiedekunnassamme on säännöllisesti kansainvälisiä vierailijoita pidemmillä vierailujaksoilla. </w:t>
            </w:r>
            <w:r w:rsidRPr="00EA493F">
              <w:rPr>
                <w:lang w:val="fi-FI"/>
              </w:rPr>
              <w:br/>
            </w:r>
            <w:r w:rsidRPr="00EA493F">
              <w:rPr>
                <w:lang w:val="fi-FI"/>
              </w:rPr>
              <w:br/>
            </w:r>
            <w:r w:rsidR="42C5A6E5" w:rsidRPr="42C5A6E5">
              <w:rPr>
                <w:rFonts w:ascii="Calibri" w:eastAsia="Calibri" w:hAnsi="Calibri" w:cs="Calibri"/>
                <w:lang w:val="fi-FI"/>
              </w:rPr>
              <w:t xml:space="preserve">Tiedekuntamme henkilöstö tekee säännöllisesti tutkimusvierailuja ulkomaille. </w:t>
            </w:r>
            <w:r>
              <w:br/>
            </w:r>
            <w:r>
              <w:br/>
            </w:r>
            <w:r>
              <w:br/>
            </w:r>
          </w:p>
          <w:p w14:paraId="63C2C6C7" w14:textId="6DFFDE8F" w:rsidR="5CC7F683" w:rsidRDefault="5CC7F683" w:rsidP="5CC7F683">
            <w:pPr>
              <w:rPr>
                <w:rFonts w:ascii="Calibri" w:eastAsia="Calibri" w:hAnsi="Calibri" w:cs="Calibri"/>
                <w:i/>
                <w:iCs/>
                <w:lang w:val="fi-FI"/>
              </w:rPr>
            </w:pPr>
          </w:p>
          <w:p w14:paraId="028C9C7C" w14:textId="653EF564" w:rsidR="0085692A" w:rsidRPr="00597608" w:rsidRDefault="0085692A" w:rsidP="5CC7F683">
            <w:pPr>
              <w:rPr>
                <w:rFonts w:ascii="Calibri" w:eastAsia="Calibri" w:hAnsi="Calibri" w:cs="Calibri"/>
                <w:i/>
                <w:iCs/>
                <w:lang w:val="fi-FI"/>
              </w:rPr>
            </w:pPr>
          </w:p>
        </w:tc>
        <w:tc>
          <w:tcPr>
            <w:tcW w:w="4914" w:type="dxa"/>
          </w:tcPr>
          <w:p w14:paraId="162C3C7B" w14:textId="3B9B497F" w:rsidR="5CC7F683" w:rsidRDefault="5CC7F683" w:rsidP="4E4F8A3F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E4F8A3F" w:rsidRPr="4E4F8A3F">
              <w:rPr>
                <w:lang w:val="fi-FI"/>
              </w:rPr>
              <w:t xml:space="preserve">Tiedekunnalla on vuosittain sekä visiting scholar </w:t>
            </w:r>
          </w:p>
          <w:p w14:paraId="02A8C169" w14:textId="60F0FF02" w:rsidR="5CC7F683" w:rsidRDefault="5CC7F683" w:rsidP="5CC7F683">
            <w:pPr>
              <w:rPr>
                <w:lang w:val="fi-FI"/>
              </w:rPr>
            </w:pPr>
            <w:r w:rsidRPr="5CC7F683">
              <w:rPr>
                <w:lang w:val="fi-FI"/>
              </w:rPr>
              <w:t xml:space="preserve">että mobility –haku. </w:t>
            </w:r>
            <w:r w:rsidRPr="00E67451">
              <w:rPr>
                <w:lang w:val="fi-FI"/>
              </w:rPr>
              <w:br/>
            </w:r>
          </w:p>
          <w:p w14:paraId="675BF858" w14:textId="29CF3772" w:rsidR="0085692A" w:rsidRPr="008457B4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 xml:space="preserve">Kansainvälisten kumppanuuksien pitkäjänteinen kehittäminen, yhteistyön sisällöllinen laajentaminen (esim. vierailuista ja vaihdoista kohti tutkimusyhteistyötä) </w:t>
            </w:r>
            <w:r w:rsidR="5CC7F683" w:rsidRPr="00EA493F">
              <w:rPr>
                <w:lang w:val="fi-FI"/>
              </w:rPr>
              <w:br/>
            </w:r>
            <w:r w:rsidR="5CC7F683" w:rsidRPr="00EA493F">
              <w:rPr>
                <w:lang w:val="fi-FI"/>
              </w:rPr>
              <w:br/>
            </w:r>
            <w:r w:rsidRPr="42C5A6E5">
              <w:rPr>
                <w:lang w:val="fi-FI"/>
              </w:rPr>
              <w:t xml:space="preserve">Yhteinen tutkimusrahoituksen hakeminen </w:t>
            </w:r>
            <w:r w:rsidR="5CC7F683" w:rsidRPr="00EA493F">
              <w:rPr>
                <w:lang w:val="fi-FI"/>
              </w:rPr>
              <w:br/>
            </w:r>
          </w:p>
        </w:tc>
        <w:tc>
          <w:tcPr>
            <w:tcW w:w="3674" w:type="dxa"/>
          </w:tcPr>
          <w:p w14:paraId="2C56BEF0" w14:textId="187A1A51" w:rsidR="0085692A" w:rsidRPr="008457B4" w:rsidRDefault="5CC7F683" w:rsidP="4E4F8A3F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E4F8A3F" w:rsidRPr="4E4F8A3F">
              <w:rPr>
                <w:lang w:val="fi-FI"/>
              </w:rPr>
              <w:t>Tiedekunta rahoittaa sekä saapuvia että lähteviä tutkijavierailuita.</w:t>
            </w:r>
            <w:r w:rsidRPr="00EA493F">
              <w:rPr>
                <w:lang w:val="fi-FI"/>
              </w:rPr>
              <w:br/>
            </w:r>
            <w:r w:rsidRPr="00EA493F">
              <w:rPr>
                <w:lang w:val="fi-FI"/>
              </w:rPr>
              <w:br/>
            </w:r>
            <w:r w:rsidR="4E4F8A3F" w:rsidRPr="4E4F8A3F">
              <w:rPr>
                <w:lang w:val="fi-FI"/>
              </w:rPr>
              <w:t xml:space="preserve">Laitokset rahoittavat henkilökunnan osallistumista kansainvälisiin konferensseihin ja verkostoitumistapahtumiin. </w:t>
            </w:r>
            <w:r>
              <w:br/>
            </w:r>
          </w:p>
          <w:p w14:paraId="4E5323C2" w14:textId="2A65C325" w:rsidR="0085692A" w:rsidRPr="008457B4" w:rsidRDefault="0085692A" w:rsidP="5CC7F683">
            <w:pPr>
              <w:rPr>
                <w:lang w:val="fi-FI"/>
              </w:rPr>
            </w:pPr>
          </w:p>
        </w:tc>
      </w:tr>
    </w:tbl>
    <w:p w14:paraId="6C67FC21" w14:textId="02FA1759" w:rsidR="5F95D855" w:rsidRDefault="5F95D855"/>
    <w:p w14:paraId="48CE557A" w14:textId="1F6EE862" w:rsidR="5CC7F683" w:rsidRPr="00E67451" w:rsidRDefault="5CC7F683">
      <w:pPr>
        <w:rPr>
          <w:lang w:val="fi-FI"/>
        </w:rPr>
      </w:pPr>
    </w:p>
    <w:p w14:paraId="178E978E" w14:textId="77777777" w:rsidR="00ED22B1" w:rsidRPr="00597608" w:rsidRDefault="00ED22B1" w:rsidP="00ED22B1">
      <w:pPr>
        <w:rPr>
          <w:lang w:val="fi-FI"/>
        </w:rPr>
      </w:pPr>
    </w:p>
    <w:p w14:paraId="068A87D7" w14:textId="098DCF16" w:rsidR="004D78FC" w:rsidRDefault="42C5A6E5" w:rsidP="004D78FC">
      <w:pPr>
        <w:pStyle w:val="Luettelokappale"/>
        <w:numPr>
          <w:ilvl w:val="0"/>
          <w:numId w:val="1"/>
        </w:numPr>
      </w:pPr>
      <w:r>
        <w:t>tavoite: “KANSAINVÄLINEN KOMPETENSSI”</w:t>
      </w:r>
    </w:p>
    <w:tbl>
      <w:tblPr>
        <w:tblStyle w:val="TaulukkoRuudukko"/>
        <w:tblW w:w="21030" w:type="dxa"/>
        <w:tblLook w:val="04A0" w:firstRow="1" w:lastRow="0" w:firstColumn="1" w:lastColumn="0" w:noHBand="0" w:noVBand="1"/>
      </w:tblPr>
      <w:tblGrid>
        <w:gridCol w:w="3521"/>
        <w:gridCol w:w="8948"/>
        <w:gridCol w:w="5031"/>
        <w:gridCol w:w="3530"/>
      </w:tblGrid>
      <w:tr w:rsidR="0006441C" w14:paraId="4228323D" w14:textId="77777777" w:rsidTr="42C5A6E5">
        <w:trPr>
          <w:trHeight w:val="496"/>
        </w:trPr>
        <w:tc>
          <w:tcPr>
            <w:tcW w:w="3521" w:type="dxa"/>
          </w:tcPr>
          <w:p w14:paraId="3C18D816" w14:textId="77777777" w:rsidR="0006441C" w:rsidRDefault="0006441C" w:rsidP="007E340E">
            <w:r>
              <w:t>STRATEGINEN TAVOITE</w:t>
            </w:r>
          </w:p>
        </w:tc>
        <w:tc>
          <w:tcPr>
            <w:tcW w:w="8948" w:type="dxa"/>
          </w:tcPr>
          <w:p w14:paraId="20268F99" w14:textId="77777777" w:rsidR="0006441C" w:rsidRDefault="0006441C" w:rsidP="007E340E">
            <w:r>
              <w:t>ODOTETTU TULOS</w:t>
            </w:r>
          </w:p>
        </w:tc>
        <w:tc>
          <w:tcPr>
            <w:tcW w:w="5031" w:type="dxa"/>
          </w:tcPr>
          <w:p w14:paraId="025F9EA0" w14:textId="77777777" w:rsidR="0006441C" w:rsidRDefault="0006441C" w:rsidP="007E340E">
            <w:r>
              <w:t>TOIMENPITEET</w:t>
            </w:r>
          </w:p>
        </w:tc>
        <w:tc>
          <w:tcPr>
            <w:tcW w:w="3530" w:type="dxa"/>
          </w:tcPr>
          <w:p w14:paraId="295522E3" w14:textId="77777777" w:rsidR="0006441C" w:rsidRDefault="0006441C" w:rsidP="007E340E">
            <w:r>
              <w:t>TYÖKALUT</w:t>
            </w:r>
          </w:p>
        </w:tc>
      </w:tr>
      <w:tr w:rsidR="0006441C" w:rsidRPr="001B1795" w14:paraId="763B7947" w14:textId="77777777" w:rsidTr="42C5A6E5">
        <w:trPr>
          <w:trHeight w:val="3959"/>
        </w:trPr>
        <w:tc>
          <w:tcPr>
            <w:tcW w:w="3521" w:type="dxa"/>
          </w:tcPr>
          <w:p w14:paraId="0E309B0B" w14:textId="26B32251" w:rsidR="0006441C" w:rsidRPr="00597608" w:rsidRDefault="0006441C" w:rsidP="42C5A6E5">
            <w:pPr>
              <w:rPr>
                <w:lang w:val="fi-FI"/>
              </w:rPr>
            </w:pPr>
          </w:p>
          <w:p w14:paraId="29311D3B" w14:textId="04DBBE8B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Opetuksen järjestäminen</w:t>
            </w:r>
          </w:p>
          <w:p w14:paraId="250DC386" w14:textId="722B9FDA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7F5D323D" w14:textId="48E7BB26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25F04975" w14:textId="58DCB7A3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38C331F4" w14:textId="7A85AADD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25511F53" w14:textId="1C1AD739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1857D9CD" w14:textId="1DCF7946" w:rsidR="0006441C" w:rsidRPr="00597608" w:rsidRDefault="0006441C" w:rsidP="42C5A6E5">
            <w:pPr>
              <w:rPr>
                <w:lang w:val="fi-FI"/>
              </w:rPr>
            </w:pPr>
          </w:p>
          <w:p w14:paraId="71214168" w14:textId="2E340263" w:rsidR="0006441C" w:rsidRPr="00597608" w:rsidRDefault="0006441C" w:rsidP="42C5A6E5">
            <w:pPr>
              <w:rPr>
                <w:lang w:val="fi-FI"/>
              </w:rPr>
            </w:pPr>
          </w:p>
          <w:p w14:paraId="024EDF28" w14:textId="7C3B2B48" w:rsidR="0006441C" w:rsidRPr="00597608" w:rsidRDefault="0006441C" w:rsidP="42C5A6E5">
            <w:pPr>
              <w:rPr>
                <w:lang w:val="fi-FI"/>
              </w:rPr>
            </w:pPr>
          </w:p>
          <w:p w14:paraId="35A3C3DB" w14:textId="2553C9F1" w:rsidR="0006441C" w:rsidRPr="00597608" w:rsidRDefault="0006441C" w:rsidP="42C5A6E5">
            <w:pPr>
              <w:rPr>
                <w:lang w:val="fi-FI"/>
              </w:rPr>
            </w:pPr>
          </w:p>
          <w:p w14:paraId="7ABAF081" w14:textId="37A1A175" w:rsidR="0006441C" w:rsidRPr="00597608" w:rsidRDefault="0006441C" w:rsidP="42C5A6E5">
            <w:pPr>
              <w:rPr>
                <w:lang w:val="fi-FI"/>
              </w:rPr>
            </w:pPr>
          </w:p>
          <w:p w14:paraId="7279287F" w14:textId="68986A67" w:rsidR="0006441C" w:rsidRPr="00597608" w:rsidRDefault="0006441C" w:rsidP="42C5A6E5">
            <w:pPr>
              <w:rPr>
                <w:lang w:val="fi-FI"/>
              </w:rPr>
            </w:pPr>
          </w:p>
          <w:p w14:paraId="29422FD9" w14:textId="55594802" w:rsidR="0006441C" w:rsidRPr="00597608" w:rsidRDefault="0006441C" w:rsidP="42C5A6E5">
            <w:pPr>
              <w:rPr>
                <w:lang w:val="fi-FI"/>
              </w:rPr>
            </w:pPr>
          </w:p>
          <w:p w14:paraId="191757A2" w14:textId="0C72CBF6" w:rsidR="0006441C" w:rsidRPr="00597608" w:rsidRDefault="42C5A6E5" w:rsidP="42C5A6E5">
            <w:pPr>
              <w:rPr>
                <w:highlight w:val="yellow"/>
                <w:lang w:val="fi-FI"/>
              </w:rPr>
            </w:pPr>
            <w:r w:rsidRPr="42C5A6E5">
              <w:rPr>
                <w:lang w:val="fi-FI"/>
              </w:rPr>
              <w:t>Kompetenssien kehittyminen</w:t>
            </w:r>
          </w:p>
        </w:tc>
        <w:tc>
          <w:tcPr>
            <w:tcW w:w="8948" w:type="dxa"/>
          </w:tcPr>
          <w:p w14:paraId="087846BE" w14:textId="5CB4E2D7" w:rsidR="42C5A6E5" w:rsidRDefault="42C5A6E5" w:rsidP="42C5A6E5">
            <w:pPr>
              <w:rPr>
                <w:lang w:val="fi-FI"/>
              </w:rPr>
            </w:pPr>
          </w:p>
          <w:p w14:paraId="7A860FB6" w14:textId="7B72CBBE" w:rsidR="5F95D855" w:rsidRDefault="42C5A6E5" w:rsidP="42C5A6E5">
            <w:pPr>
              <w:rPr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 xml:space="preserve">Tiedekunnan opetus on tutkimusperustaista sekä monitieteisessä ja kansainvälisessä yhteistyössä rakennettua.  </w:t>
            </w:r>
          </w:p>
          <w:p w14:paraId="22AD37E5" w14:textId="361B2949" w:rsidR="5F95D855" w:rsidRDefault="5F95D85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0D1A5A91" w14:textId="3EE1DA42" w:rsidR="5F95D855" w:rsidRDefault="42C5A6E5" w:rsidP="42C5A6E5">
            <w:pPr>
              <w:rPr>
                <w:lang w:val="fi-FI"/>
              </w:rPr>
            </w:pPr>
            <w:r w:rsidRPr="00EB7482">
              <w:rPr>
                <w:rFonts w:ascii="Calibri" w:eastAsia="Calibri" w:hAnsi="Calibri" w:cs="Calibri"/>
                <w:highlight w:val="yellow"/>
                <w:lang w:val="fi-FI"/>
              </w:rPr>
              <w:t>Tiedekuntamme opetuksessa näkyvät globaalit kasvatuksen ja eettisen vastuun teemat, kieli- ja kulttuuritietoisuus, vuorovaikutusosaaminen sekä monipuolinen kielitaito.</w:t>
            </w:r>
            <w:r w:rsidRPr="42C5A6E5">
              <w:rPr>
                <w:rFonts w:ascii="Calibri" w:eastAsia="Calibri" w:hAnsi="Calibri" w:cs="Calibri"/>
                <w:lang w:val="fi-FI"/>
              </w:rPr>
              <w:t xml:space="preserve"> </w:t>
            </w:r>
            <w:r w:rsidR="5F95D855" w:rsidRPr="00EA493F">
              <w:rPr>
                <w:lang w:val="fi-FI"/>
              </w:rPr>
              <w:br/>
            </w:r>
            <w:r w:rsidR="5F95D855" w:rsidRPr="00EA493F">
              <w:rPr>
                <w:lang w:val="fi-FI"/>
              </w:rPr>
              <w:br/>
            </w:r>
            <w:r w:rsidRPr="42C5A6E5">
              <w:rPr>
                <w:rFonts w:ascii="Calibri" w:eastAsia="Calibri" w:hAnsi="Calibri" w:cs="Calibri"/>
                <w:lang w:val="fi-FI"/>
              </w:rPr>
              <w:t>Kansainväliset tutkinto-ohjelmamme ovat integroituneita muuhun koulutuskokonaisuuteen.</w:t>
            </w:r>
          </w:p>
          <w:p w14:paraId="56793E36" w14:textId="7954AC07" w:rsidR="5F95D855" w:rsidRDefault="5F95D855" w:rsidP="42C5A6E5">
            <w:pPr>
              <w:rPr>
                <w:rFonts w:ascii="Calibri" w:eastAsia="Calibri" w:hAnsi="Calibri" w:cs="Calibri"/>
                <w:lang w:val="fi-FI"/>
              </w:rPr>
            </w:pPr>
            <w:r w:rsidRPr="00EA493F">
              <w:rPr>
                <w:lang w:val="fi-FI"/>
              </w:rPr>
              <w:br/>
            </w:r>
          </w:p>
          <w:p w14:paraId="0AE65143" w14:textId="282E0566" w:rsidR="5F95D855" w:rsidRDefault="42C5A6E5" w:rsidP="42C5A6E5">
            <w:pPr>
              <w:rPr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>Tiedekuntamme henkilökunta osallistuu kansalliseen ja kansainväliseen yhteistyöhön koulutuksen kehittämisessä.</w:t>
            </w:r>
          </w:p>
          <w:p w14:paraId="5424D06B" w14:textId="0BEB0081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1C5D8715" w14:textId="15520B38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63472136" w14:textId="0D81C826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lastRenderedPageBreak/>
              <w:t>Opettajiemme pedagogisten taitojen kehittymistä sekä digitaalista ja kansainvälistä osaamista tuetaan joustavasti ja tarkoituksenmukaisesti uran eri vaiheissa.</w:t>
            </w:r>
          </w:p>
          <w:p w14:paraId="3872D00D" w14:textId="3BE9C1E5" w:rsidR="42C5A6E5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14A0A2B3" w14:textId="273ECE10" w:rsidR="0006441C" w:rsidRPr="00597608" w:rsidRDefault="2CBD9766" w:rsidP="2CBD9766">
            <w:pPr>
              <w:rPr>
                <w:lang w:val="fi-FI"/>
              </w:rPr>
            </w:pPr>
            <w:r w:rsidRPr="00EB7482">
              <w:rPr>
                <w:rFonts w:ascii="Calibri" w:eastAsia="Calibri" w:hAnsi="Calibri" w:cs="Calibri"/>
                <w:highlight w:val="yellow"/>
                <w:lang w:val="fi-FI"/>
              </w:rPr>
              <w:t>Opiskelijoillamme on monipuoliset mahdollisuudet sisällyttää opintoihinsa työharjoittelujaksoja sekä suunnitelmallisia kansainvälisiä opiskelu- ja harjoittelujaksoja tai kansainvälisiä opintoja kotikampuksella. Opiskelijoillemme kehittyy opintojen aikana hyvät työelämä- ja kansainvälisen yhteistyön taidot.</w:t>
            </w:r>
          </w:p>
          <w:p w14:paraId="4D4CA24B" w14:textId="49E8ECD6" w:rsidR="0006441C" w:rsidRPr="00597608" w:rsidRDefault="0006441C" w:rsidP="2CBD9766">
            <w:pPr>
              <w:rPr>
                <w:rFonts w:ascii="Calibri" w:eastAsia="Calibri" w:hAnsi="Calibri" w:cs="Calibri"/>
                <w:lang w:val="fi-FI"/>
              </w:rPr>
            </w:pPr>
          </w:p>
          <w:p w14:paraId="3CA511A8" w14:textId="271EE269" w:rsidR="0006441C" w:rsidRPr="00597608" w:rsidRDefault="2CBD9766" w:rsidP="2CBD9766">
            <w:pPr>
              <w:rPr>
                <w:lang w:val="fi-FI"/>
              </w:rPr>
            </w:pPr>
            <w:r w:rsidRPr="00597608">
              <w:rPr>
                <w:rFonts w:ascii="Calibri" w:eastAsia="Calibri" w:hAnsi="Calibri" w:cs="Calibri"/>
                <w:lang w:val="fi-FI"/>
              </w:rPr>
              <w:t>Kansainväliset opiskelijamme ovat kysyttyjä harjoittelijoita ja valmistuttuaan he työllistyvät hyvin.</w:t>
            </w:r>
          </w:p>
          <w:p w14:paraId="3302BD15" w14:textId="4295AD75" w:rsidR="0006441C" w:rsidRPr="00597608" w:rsidRDefault="0006441C" w:rsidP="2CBD9766">
            <w:pPr>
              <w:rPr>
                <w:lang w:val="fi-FI"/>
              </w:rPr>
            </w:pPr>
          </w:p>
          <w:p w14:paraId="2F899674" w14:textId="431BBF8F" w:rsidR="0006441C" w:rsidRPr="00597608" w:rsidRDefault="0006441C" w:rsidP="2CBD9766">
            <w:pPr>
              <w:rPr>
                <w:lang w:val="fi-FI"/>
              </w:rPr>
            </w:pPr>
          </w:p>
        </w:tc>
        <w:tc>
          <w:tcPr>
            <w:tcW w:w="5031" w:type="dxa"/>
          </w:tcPr>
          <w:p w14:paraId="0F6063F2" w14:textId="09DDDA48" w:rsidR="42C5A6E5" w:rsidRDefault="42C5A6E5" w:rsidP="42C5A6E5">
            <w:pPr>
              <w:rPr>
                <w:lang w:val="fi-FI"/>
              </w:rPr>
            </w:pPr>
          </w:p>
          <w:p w14:paraId="4372B68D" w14:textId="3D35ECC7" w:rsidR="42C5A6E5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Opetuksen kehittämiseen suunnataan rahoitusta</w:t>
            </w:r>
          </w:p>
          <w:p w14:paraId="1442F26D" w14:textId="1614C8DF" w:rsidR="42C5A6E5" w:rsidRDefault="42C5A6E5" w:rsidP="42C5A6E5">
            <w:pPr>
              <w:rPr>
                <w:lang w:val="fi-FI"/>
              </w:rPr>
            </w:pPr>
          </w:p>
          <w:p w14:paraId="33BE12A4" w14:textId="3FDE8BEB" w:rsidR="42C5A6E5" w:rsidRDefault="42C5A6E5" w:rsidP="42C5A6E5">
            <w:pPr>
              <w:rPr>
                <w:lang w:val="fi-FI"/>
              </w:rPr>
            </w:pPr>
          </w:p>
          <w:p w14:paraId="36090A8C" w14:textId="5C52D2CE" w:rsidR="42C5A6E5" w:rsidRPr="00EA493F" w:rsidRDefault="42C5A6E5" w:rsidP="42C5A6E5">
            <w:pPr>
              <w:rPr>
                <w:lang w:val="fi-FI"/>
              </w:rPr>
            </w:pPr>
            <w:r w:rsidRPr="00EB7482">
              <w:rPr>
                <w:highlight w:val="yellow"/>
                <w:lang w:val="fi-FI"/>
              </w:rPr>
              <w:t>Globaalit kasvatuksen teemat otetaan opetuksessa huomioon.</w:t>
            </w:r>
          </w:p>
          <w:p w14:paraId="0BD535FE" w14:textId="4BF18F31" w:rsidR="42C5A6E5" w:rsidRDefault="42C5A6E5" w:rsidP="42C5A6E5">
            <w:pPr>
              <w:rPr>
                <w:lang w:val="fi-FI"/>
              </w:rPr>
            </w:pPr>
          </w:p>
          <w:p w14:paraId="460F82E1" w14:textId="40A57565" w:rsidR="42C5A6E5" w:rsidRPr="00EA493F" w:rsidRDefault="42C5A6E5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Pr="00EA493F">
              <w:rPr>
                <w:lang w:val="fi-FI"/>
              </w:rPr>
              <w:br/>
            </w:r>
            <w:r w:rsidRPr="00EA493F">
              <w:rPr>
                <w:lang w:val="fi-FI"/>
              </w:rPr>
              <w:br/>
              <w:t xml:space="preserve">Tiedekunta tukee aktiivisesti henkilökunnan kansainvälistä verkostoitumista </w:t>
            </w:r>
            <w:r w:rsidRPr="00EA493F">
              <w:rPr>
                <w:lang w:val="fi-FI"/>
              </w:rPr>
              <w:br/>
            </w:r>
          </w:p>
          <w:p w14:paraId="4CFA7F47" w14:textId="780B15A1" w:rsidR="42C5A6E5" w:rsidRDefault="42C5A6E5" w:rsidP="42C5A6E5">
            <w:pPr>
              <w:rPr>
                <w:lang w:val="fi-FI"/>
              </w:rPr>
            </w:pPr>
          </w:p>
          <w:p w14:paraId="1CE8ACFD" w14:textId="42F09F33" w:rsidR="0006441C" w:rsidRPr="00597608" w:rsidRDefault="42C5A6E5" w:rsidP="42C5A6E5">
            <w:pPr>
              <w:rPr>
                <w:lang w:val="fi-FI"/>
              </w:rPr>
            </w:pPr>
            <w:r w:rsidRPr="00EB7482">
              <w:rPr>
                <w:highlight w:val="yellow"/>
                <w:lang w:val="fi-FI"/>
              </w:rPr>
              <w:lastRenderedPageBreak/>
              <w:t>Vieraskielisen, erityisesti englanninkielisen opetuksen määrää lisätään opintojen kaikissa vaiheissa ja sitoutetaan suomenkielisten ohjelmien opiskelijoita osallistumaan vieraskieliseen opetukseen.</w:t>
            </w:r>
          </w:p>
          <w:p w14:paraId="02FC15FA" w14:textId="26B0901C" w:rsidR="42C5A6E5" w:rsidRDefault="42C5A6E5" w:rsidP="42C5A6E5">
            <w:pPr>
              <w:rPr>
                <w:lang w:val="fi-FI"/>
              </w:rPr>
            </w:pPr>
          </w:p>
          <w:p w14:paraId="4C42B1BB" w14:textId="63CF08B7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 xml:space="preserve">Harjoittelujen suorittamiseen on joustavia mahdollisuuksia. </w:t>
            </w:r>
          </w:p>
          <w:p w14:paraId="1F8AF558" w14:textId="08D74CD2" w:rsidR="0006441C" w:rsidRPr="00597608" w:rsidRDefault="5F95D855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2C5A6E5" w:rsidRPr="42C5A6E5">
              <w:rPr>
                <w:lang w:val="fi-FI"/>
              </w:rPr>
              <w:t xml:space="preserve">Tehdään näkyväksi koulutuksiamme ja opiskelijoidemme osaamista. </w:t>
            </w:r>
          </w:p>
          <w:p w14:paraId="4C5DA73F" w14:textId="6D64EB2A" w:rsidR="0006441C" w:rsidRPr="00597608" w:rsidRDefault="5F95D855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2C5A6E5" w:rsidRPr="42C5A6E5">
              <w:rPr>
                <w:lang w:val="fi-FI"/>
              </w:rPr>
              <w:t xml:space="preserve">Opinnäytteiden integrointi harjoitteluihin ja tutkimusryhmiin. </w:t>
            </w:r>
            <w:r w:rsidRPr="00EA493F">
              <w:rPr>
                <w:lang w:val="fi-FI"/>
              </w:rPr>
              <w:br/>
            </w:r>
          </w:p>
        </w:tc>
        <w:tc>
          <w:tcPr>
            <w:tcW w:w="3530" w:type="dxa"/>
          </w:tcPr>
          <w:p w14:paraId="7D45858D" w14:textId="45136B99" w:rsidR="0006441C" w:rsidRPr="00597608" w:rsidRDefault="0006441C" w:rsidP="5CC7F683">
            <w:pPr>
              <w:rPr>
                <w:lang w:val="fi-FI"/>
              </w:rPr>
            </w:pPr>
          </w:p>
          <w:p w14:paraId="3360E377" w14:textId="59B14BA4" w:rsidR="0006441C" w:rsidRPr="00EA493F" w:rsidRDefault="0006441C" w:rsidP="5CC7F683">
            <w:pPr>
              <w:rPr>
                <w:lang w:val="fi-FI"/>
              </w:rPr>
            </w:pPr>
          </w:p>
          <w:p w14:paraId="05F2DD7A" w14:textId="21155B6E" w:rsidR="0006441C" w:rsidRPr="00EA493F" w:rsidRDefault="0006441C" w:rsidP="5CC7F683">
            <w:pPr>
              <w:rPr>
                <w:lang w:val="fi-FI"/>
              </w:rPr>
            </w:pPr>
          </w:p>
          <w:p w14:paraId="77E2D72D" w14:textId="0CEB1EBA" w:rsidR="0006441C" w:rsidRPr="00EA493F" w:rsidRDefault="0006441C" w:rsidP="5CC7F683">
            <w:pPr>
              <w:rPr>
                <w:lang w:val="fi-FI"/>
              </w:rPr>
            </w:pPr>
          </w:p>
          <w:p w14:paraId="29B2D3C9" w14:textId="1E0F1513" w:rsidR="0006441C" w:rsidRPr="00597608" w:rsidRDefault="5CC7F683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</w:p>
          <w:p w14:paraId="3EDE0458" w14:textId="44BF8C1B" w:rsidR="42C5A6E5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Erilaiset rahoitusmahdollisuudet, ml. Erasmus+ avaintoimi 1 ja 2 + muut hankerahoitukset</w:t>
            </w:r>
          </w:p>
          <w:p w14:paraId="16C3937C" w14:textId="62D878C5" w:rsidR="42C5A6E5" w:rsidRDefault="42C5A6E5" w:rsidP="42C5A6E5">
            <w:pPr>
              <w:rPr>
                <w:lang w:val="fi-FI"/>
              </w:rPr>
            </w:pPr>
          </w:p>
          <w:p w14:paraId="5D386A65" w14:textId="49DCA38E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Työkierto, Kehityskeskustelut</w:t>
            </w:r>
          </w:p>
          <w:p w14:paraId="52EC174B" w14:textId="42E2F3AC" w:rsidR="0006441C" w:rsidRPr="00597608" w:rsidRDefault="0006441C" w:rsidP="42C5A6E5">
            <w:pPr>
              <w:rPr>
                <w:lang w:val="fi-FI"/>
              </w:rPr>
            </w:pPr>
          </w:p>
          <w:p w14:paraId="6646AB53" w14:textId="50F02B7B" w:rsidR="0006441C" w:rsidRPr="00597608" w:rsidRDefault="0006441C" w:rsidP="42C5A6E5">
            <w:pPr>
              <w:rPr>
                <w:lang w:val="fi-FI"/>
              </w:rPr>
            </w:pPr>
          </w:p>
          <w:p w14:paraId="23973AB9" w14:textId="26CB7526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lastRenderedPageBreak/>
              <w:t>TACE &amp; Yliopistopedagogiset opinnot (englanninkielinen ryhmä)</w:t>
            </w:r>
            <w:r w:rsidR="5F95D855" w:rsidRPr="00EA493F">
              <w:rPr>
                <w:lang w:val="fi-FI"/>
              </w:rPr>
              <w:br/>
            </w:r>
          </w:p>
          <w:p w14:paraId="2F8BE902" w14:textId="0C17029F" w:rsidR="0006441C" w:rsidRPr="00597608" w:rsidRDefault="42C5A6E5" w:rsidP="42C5A6E5">
            <w:pPr>
              <w:rPr>
                <w:lang w:val="fi-FI"/>
              </w:rPr>
            </w:pPr>
            <w:r w:rsidRPr="00EB7482">
              <w:rPr>
                <w:highlight w:val="yellow"/>
                <w:lang w:val="fi-FI"/>
              </w:rPr>
              <w:t>Osa pakollisista opintojaksoista tarjotaan vain englanniksi</w:t>
            </w:r>
          </w:p>
          <w:p w14:paraId="26186E70" w14:textId="5BEA568B" w:rsidR="0006441C" w:rsidRPr="00597608" w:rsidRDefault="0006441C" w:rsidP="42C5A6E5">
            <w:pPr>
              <w:rPr>
                <w:lang w:val="fi-FI"/>
              </w:rPr>
            </w:pPr>
          </w:p>
          <w:p w14:paraId="64AD0EDB" w14:textId="356F39C5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 xml:space="preserve">Opiskelijoiden ulkomaan vaihdot ja harjoittelut sekä </w:t>
            </w:r>
            <w:r w:rsidRPr="00F4118C">
              <w:rPr>
                <w:highlight w:val="yellow"/>
                <w:lang w:val="fi-FI"/>
              </w:rPr>
              <w:t>kotikansainvälistyminen.</w:t>
            </w:r>
          </w:p>
          <w:p w14:paraId="101F97B7" w14:textId="5102B6A5" w:rsidR="0006441C" w:rsidRPr="00597608" w:rsidRDefault="0006441C" w:rsidP="42C5A6E5">
            <w:pPr>
              <w:rPr>
                <w:lang w:val="fi-FI"/>
              </w:rPr>
            </w:pPr>
          </w:p>
          <w:p w14:paraId="04792633" w14:textId="5EDFDFE6" w:rsidR="0006441C" w:rsidRPr="00597608" w:rsidRDefault="0006441C" w:rsidP="42C5A6E5">
            <w:pPr>
              <w:rPr>
                <w:lang w:val="fi-FI"/>
              </w:rPr>
            </w:pPr>
          </w:p>
          <w:p w14:paraId="3FE60430" w14:textId="0B5EA8D7" w:rsidR="0006441C" w:rsidRPr="00597608" w:rsidRDefault="0006441C" w:rsidP="42C5A6E5">
            <w:pPr>
              <w:rPr>
                <w:lang w:val="fi-FI"/>
              </w:rPr>
            </w:pPr>
          </w:p>
        </w:tc>
      </w:tr>
      <w:tr w:rsidR="0006441C" w:rsidRPr="00E67451" w14:paraId="73D4655D" w14:textId="77777777" w:rsidTr="42C5A6E5">
        <w:trPr>
          <w:trHeight w:val="1123"/>
        </w:trPr>
        <w:tc>
          <w:tcPr>
            <w:tcW w:w="3521" w:type="dxa"/>
          </w:tcPr>
          <w:p w14:paraId="2E3396B3" w14:textId="0E4082C7" w:rsidR="0006441C" w:rsidRPr="00597608" w:rsidRDefault="42C5A6E5" w:rsidP="42C5A6E5">
            <w:pPr>
              <w:spacing w:line="259" w:lineRule="auto"/>
              <w:rPr>
                <w:rFonts w:ascii="Calibri" w:eastAsia="Calibri" w:hAnsi="Calibri" w:cs="Calibri"/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lastRenderedPageBreak/>
              <w:t>Kansainvälinen rekrytointi ja integrointi vahvistuu</w:t>
            </w:r>
          </w:p>
          <w:p w14:paraId="0FB3E58C" w14:textId="740E79B2" w:rsidR="0006441C" w:rsidRPr="00597608" w:rsidRDefault="0006441C" w:rsidP="42C5A6E5">
            <w:pPr>
              <w:rPr>
                <w:lang w:val="fi-FI"/>
              </w:rPr>
            </w:pPr>
          </w:p>
          <w:p w14:paraId="62A8A2CF" w14:textId="77CF30F1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</w:tc>
        <w:tc>
          <w:tcPr>
            <w:tcW w:w="8948" w:type="dxa"/>
          </w:tcPr>
          <w:p w14:paraId="0689FB39" w14:textId="4BC06C37" w:rsidR="0006441C" w:rsidRPr="00597608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>Tiedekuntamme avoimiin tehtäviin hakeutuu entistä suurempi määrä laadukkaita kansainvälisiä hakijoita ja kansainvälisen henkilökunnan määrä on kasvanut.</w:t>
            </w:r>
          </w:p>
          <w:p w14:paraId="1F7C29D4" w14:textId="651C73D1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22AECEDF" w14:textId="45828987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3EF5B982" w14:textId="59411783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>Koulutustarjontaamme on hakeutunut entistä enemmän kansainvälisiä opiskelijoita.</w:t>
            </w:r>
          </w:p>
          <w:p w14:paraId="53EC2454" w14:textId="1417AB05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5A968329" w14:textId="66CAD0B9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61CD4848" w14:textId="1B07F605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7F6FFD55" w14:textId="60E7AB36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>Digitalisaatioratkaisut ovat tehostaneet kansainvälistä ja kansallista opiskelijarekrytointia tukevaa viestintää ja markkinointia.  Yliopistomme näkyvyys sosiaalisessa mediassa on merkittävää ja kohderyhmille profiloitua.</w:t>
            </w:r>
          </w:p>
          <w:p w14:paraId="7A7ACF83" w14:textId="67A93BB8" w:rsidR="0006441C" w:rsidRPr="00597608" w:rsidRDefault="0006441C" w:rsidP="42C5A6E5">
            <w:pPr>
              <w:rPr>
                <w:rFonts w:ascii="Calibri" w:eastAsia="Calibri" w:hAnsi="Calibri" w:cs="Calibri"/>
                <w:lang w:val="fi-FI"/>
              </w:rPr>
            </w:pPr>
          </w:p>
        </w:tc>
        <w:tc>
          <w:tcPr>
            <w:tcW w:w="5031" w:type="dxa"/>
          </w:tcPr>
          <w:p w14:paraId="37186CF7" w14:textId="75612B86" w:rsidR="0006441C" w:rsidRPr="00597608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  <w:r w:rsidRPr="42C5A6E5">
              <w:rPr>
                <w:lang w:val="fi-FI"/>
              </w:rPr>
              <w:t>Lisätään työyhteisömme näkyvyyttä kansainvälisillä työmarkkinoilla.</w:t>
            </w:r>
            <w:r w:rsidR="5CC7F683" w:rsidRPr="00EA493F">
              <w:rPr>
                <w:lang w:val="fi-FI"/>
              </w:rPr>
              <w:br/>
            </w:r>
            <w:r w:rsidR="5CC7F683" w:rsidRPr="00EA493F">
              <w:rPr>
                <w:lang w:val="fi-FI"/>
              </w:rPr>
              <w:br/>
            </w:r>
            <w:r w:rsidR="5CC7F683" w:rsidRPr="00EA493F">
              <w:rPr>
                <w:lang w:val="fi-FI"/>
              </w:rPr>
              <w:br/>
            </w:r>
            <w:r w:rsidRPr="42C5A6E5">
              <w:rPr>
                <w:lang w:val="fi-FI"/>
              </w:rPr>
              <w:t xml:space="preserve">Lisätään kansainvälisiä hakuja niissä tehtävissä, joissa se ei ole vielä käytäntönä. </w:t>
            </w:r>
          </w:p>
          <w:p w14:paraId="3C8A55E7" w14:textId="28981598" w:rsidR="0006441C" w:rsidRPr="00597608" w:rsidRDefault="0006441C" w:rsidP="42C5A6E5">
            <w:pPr>
              <w:rPr>
                <w:lang w:val="fi-FI"/>
              </w:rPr>
            </w:pPr>
          </w:p>
          <w:p w14:paraId="1655BF2E" w14:textId="2F4B2ED4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Kaikki tiedekunnan viestintä on kaksikielistä.</w:t>
            </w:r>
            <w:r w:rsidR="5CC7F683" w:rsidRPr="00EA493F">
              <w:rPr>
                <w:lang w:val="fi-FI"/>
              </w:rPr>
              <w:br/>
            </w:r>
          </w:p>
          <w:p w14:paraId="0A019087" w14:textId="42F8ECA0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 xml:space="preserve">Varmistetaan järjestelmien toimivuus yhdessä digipalveluiden kanssa. </w:t>
            </w:r>
          </w:p>
          <w:p w14:paraId="5477DF82" w14:textId="173A716C" w:rsidR="0006441C" w:rsidRPr="00597608" w:rsidRDefault="5CC7F683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42C5A6E5" w:rsidRPr="42C5A6E5">
              <w:rPr>
                <w:lang w:val="fi-FI"/>
              </w:rPr>
              <w:t>Suunnitellaan ja huolehditaan markkinoinnista tiedekuntatasolla.</w:t>
            </w:r>
          </w:p>
        </w:tc>
        <w:tc>
          <w:tcPr>
            <w:tcW w:w="3530" w:type="dxa"/>
          </w:tcPr>
          <w:p w14:paraId="26AB07FC" w14:textId="6BB5469E" w:rsidR="0006441C" w:rsidRPr="00597608" w:rsidRDefault="0006441C" w:rsidP="42C5A6E5">
            <w:pPr>
              <w:rPr>
                <w:lang w:val="fi-FI"/>
              </w:rPr>
            </w:pPr>
          </w:p>
          <w:p w14:paraId="3C145C28" w14:textId="09E751DD" w:rsidR="0006441C" w:rsidRPr="00597608" w:rsidRDefault="0006441C" w:rsidP="42C5A6E5">
            <w:pPr>
              <w:rPr>
                <w:lang w:val="fi-FI"/>
              </w:rPr>
            </w:pPr>
          </w:p>
          <w:p w14:paraId="4AC8A08B" w14:textId="211F988A" w:rsidR="0006441C" w:rsidRPr="00597608" w:rsidRDefault="0006441C" w:rsidP="42C5A6E5">
            <w:pPr>
              <w:rPr>
                <w:lang w:val="fi-FI"/>
              </w:rPr>
            </w:pPr>
          </w:p>
          <w:p w14:paraId="443E75C1" w14:textId="3F008BDF" w:rsidR="0006441C" w:rsidRPr="00597608" w:rsidRDefault="0006441C" w:rsidP="42C5A6E5">
            <w:pPr>
              <w:rPr>
                <w:lang w:val="fi-FI"/>
              </w:rPr>
            </w:pPr>
          </w:p>
          <w:p w14:paraId="0C898695" w14:textId="7EB13370" w:rsidR="0006441C" w:rsidRPr="00597608" w:rsidRDefault="0006441C" w:rsidP="42C5A6E5">
            <w:pPr>
              <w:rPr>
                <w:lang w:val="fi-FI"/>
              </w:rPr>
            </w:pPr>
          </w:p>
          <w:p w14:paraId="177C77CD" w14:textId="29E2BD93" w:rsidR="0006441C" w:rsidRPr="00597608" w:rsidRDefault="0006441C" w:rsidP="42C5A6E5">
            <w:pPr>
              <w:rPr>
                <w:lang w:val="fi-FI"/>
              </w:rPr>
            </w:pPr>
          </w:p>
          <w:p w14:paraId="269D74BB" w14:textId="0D3A9A7F" w:rsidR="0006441C" w:rsidRPr="00597608" w:rsidRDefault="0006441C" w:rsidP="42C5A6E5">
            <w:pPr>
              <w:rPr>
                <w:lang w:val="fi-FI"/>
              </w:rPr>
            </w:pPr>
          </w:p>
          <w:p w14:paraId="7778F9C0" w14:textId="704D934D" w:rsidR="0006441C" w:rsidRPr="00597608" w:rsidRDefault="0006441C" w:rsidP="42C5A6E5">
            <w:pPr>
              <w:rPr>
                <w:lang w:val="fi-FI"/>
              </w:rPr>
            </w:pPr>
          </w:p>
          <w:p w14:paraId="0E457C79" w14:textId="720A1781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Markkinoinnin vuosikello</w:t>
            </w:r>
          </w:p>
          <w:p w14:paraId="15C64F14" w14:textId="1E984D4A" w:rsidR="0006441C" w:rsidRPr="00597608" w:rsidRDefault="0006441C" w:rsidP="42C5A6E5">
            <w:pPr>
              <w:rPr>
                <w:lang w:val="fi-FI"/>
              </w:rPr>
            </w:pPr>
          </w:p>
        </w:tc>
      </w:tr>
    </w:tbl>
    <w:p w14:paraId="5C87AA83" w14:textId="0445AD75" w:rsidR="42C5A6E5" w:rsidRDefault="42C5A6E5"/>
    <w:p w14:paraId="702C36E9" w14:textId="1F268A73" w:rsidR="2CBD9766" w:rsidRPr="00597608" w:rsidRDefault="2CBD9766" w:rsidP="2CBD9766">
      <w:pPr>
        <w:rPr>
          <w:lang w:val="fi-FI"/>
        </w:rPr>
      </w:pPr>
    </w:p>
    <w:p w14:paraId="7598CF6C" w14:textId="05EFF777" w:rsidR="004D78FC" w:rsidRDefault="42C5A6E5" w:rsidP="42C5A6E5">
      <w:pPr>
        <w:pStyle w:val="Luettelokappale"/>
        <w:numPr>
          <w:ilvl w:val="0"/>
          <w:numId w:val="1"/>
        </w:numPr>
        <w:rPr>
          <w:lang w:val="fi-FI"/>
        </w:rPr>
      </w:pPr>
      <w:r w:rsidRPr="42C5A6E5">
        <w:rPr>
          <w:lang w:val="fi-FI"/>
        </w:rPr>
        <w:t>tavoite: “HYVINVOIVA, OSALLISTAVA, VAIKUTTAVA KANSAINVÄLINEN YHTEISÖ”</w:t>
      </w:r>
    </w:p>
    <w:tbl>
      <w:tblPr>
        <w:tblStyle w:val="TaulukkoRuudukko"/>
        <w:tblW w:w="20954" w:type="dxa"/>
        <w:tblLook w:val="04A0" w:firstRow="1" w:lastRow="0" w:firstColumn="1" w:lastColumn="0" w:noHBand="0" w:noVBand="1"/>
      </w:tblPr>
      <w:tblGrid>
        <w:gridCol w:w="3549"/>
        <w:gridCol w:w="9204"/>
        <w:gridCol w:w="4620"/>
        <w:gridCol w:w="3581"/>
      </w:tblGrid>
      <w:tr w:rsidR="0006441C" w14:paraId="1226AF94" w14:textId="77777777" w:rsidTr="42C5A6E5">
        <w:trPr>
          <w:trHeight w:val="328"/>
        </w:trPr>
        <w:tc>
          <w:tcPr>
            <w:tcW w:w="3549" w:type="dxa"/>
          </w:tcPr>
          <w:p w14:paraId="36419C58" w14:textId="77777777" w:rsidR="0006441C" w:rsidRDefault="0006441C" w:rsidP="007E340E">
            <w:r>
              <w:t>STRATEGINEN TAVOITE</w:t>
            </w:r>
          </w:p>
        </w:tc>
        <w:tc>
          <w:tcPr>
            <w:tcW w:w="9204" w:type="dxa"/>
          </w:tcPr>
          <w:p w14:paraId="0E17A3AE" w14:textId="77777777" w:rsidR="0006441C" w:rsidRDefault="0006441C" w:rsidP="007E340E">
            <w:r>
              <w:t>ODOTETTU TULOS</w:t>
            </w:r>
          </w:p>
        </w:tc>
        <w:tc>
          <w:tcPr>
            <w:tcW w:w="4620" w:type="dxa"/>
          </w:tcPr>
          <w:p w14:paraId="3BEEF72B" w14:textId="77777777" w:rsidR="0006441C" w:rsidRDefault="0006441C" w:rsidP="007E340E">
            <w:r>
              <w:t>TOIMENPITEET</w:t>
            </w:r>
          </w:p>
        </w:tc>
        <w:tc>
          <w:tcPr>
            <w:tcW w:w="3581" w:type="dxa"/>
          </w:tcPr>
          <w:p w14:paraId="598D05DC" w14:textId="77777777" w:rsidR="0006441C" w:rsidRDefault="0006441C" w:rsidP="007E340E">
            <w:r>
              <w:t>TYÖKALUT</w:t>
            </w:r>
          </w:p>
        </w:tc>
      </w:tr>
      <w:tr w:rsidR="0006441C" w:rsidRPr="00EA493F" w14:paraId="0A808889" w14:textId="77777777" w:rsidTr="42C5A6E5">
        <w:trPr>
          <w:trHeight w:val="2261"/>
        </w:trPr>
        <w:tc>
          <w:tcPr>
            <w:tcW w:w="3549" w:type="dxa"/>
          </w:tcPr>
          <w:p w14:paraId="712A6E65" w14:textId="5C6EAF25" w:rsidR="0006441C" w:rsidRPr="00597608" w:rsidRDefault="0006441C" w:rsidP="42C5A6E5">
            <w:pPr>
              <w:rPr>
                <w:highlight w:val="yellow"/>
                <w:lang w:val="fi-FI"/>
              </w:rPr>
            </w:pPr>
            <w:r>
              <w:br/>
            </w:r>
            <w:r w:rsidR="42C5A6E5" w:rsidRPr="42C5A6E5">
              <w:rPr>
                <w:lang w:val="fi-FI"/>
              </w:rPr>
              <w:t>3.1 Hyvinvoiva yhteisö</w:t>
            </w:r>
          </w:p>
        </w:tc>
        <w:tc>
          <w:tcPr>
            <w:tcW w:w="9204" w:type="dxa"/>
          </w:tcPr>
          <w:p w14:paraId="21905AC3" w14:textId="1D7AC5BC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60FEABAF" w14:textId="040B7762" w:rsidR="0006441C" w:rsidRPr="002C6A2D" w:rsidRDefault="42C5A6E5" w:rsidP="42C5A6E5">
            <w:pPr>
              <w:rPr>
                <w:lang w:val="fi-FI"/>
              </w:rPr>
            </w:pPr>
            <w:r w:rsidRPr="002C6A2D">
              <w:rPr>
                <w:rFonts w:ascii="Calibri" w:eastAsia="Calibri" w:hAnsi="Calibri" w:cs="Calibri"/>
                <w:lang w:val="fi-FI"/>
              </w:rPr>
              <w:t>Olemme tunnistaneet kulttuuritaustoiltaan erilaisten opiskelijoiden opintoihin kiinnittymiseen liittyvät tarpeet ja kehittäneet toimivia malleja tukemaan heidän opintopolkuaan.</w:t>
            </w:r>
          </w:p>
          <w:p w14:paraId="03DA0A49" w14:textId="7825DE11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</w:tc>
        <w:tc>
          <w:tcPr>
            <w:tcW w:w="4620" w:type="dxa"/>
          </w:tcPr>
          <w:p w14:paraId="4D795A78" w14:textId="7163A519" w:rsidR="0006441C" w:rsidRPr="00597608" w:rsidRDefault="0006441C" w:rsidP="5533DB22">
            <w:pPr>
              <w:rPr>
                <w:lang w:val="fi-FI"/>
              </w:rPr>
            </w:pPr>
          </w:p>
          <w:p w14:paraId="58B8ADA8" w14:textId="7239FFDA" w:rsidR="0006441C" w:rsidRPr="00597608" w:rsidRDefault="34C5B628" w:rsidP="603F0873">
            <w:pPr>
              <w:rPr>
                <w:lang w:val="fi-FI"/>
              </w:rPr>
            </w:pPr>
            <w:r w:rsidRPr="3BCB9B7A">
              <w:rPr>
                <w:lang w:val="fi-FI"/>
              </w:rPr>
              <w:t>V</w:t>
            </w:r>
            <w:r w:rsidR="7C89367A" w:rsidRPr="3BCB9B7A">
              <w:rPr>
                <w:lang w:val="fi-FI"/>
              </w:rPr>
              <w:t>a</w:t>
            </w:r>
            <w:r w:rsidRPr="3BCB9B7A">
              <w:rPr>
                <w:lang w:val="fi-FI"/>
              </w:rPr>
              <w:t xml:space="preserve">rioidaan </w:t>
            </w:r>
            <w:r w:rsidR="3F4B708B" w:rsidRPr="511E9FDA">
              <w:rPr>
                <w:lang w:val="fi-FI"/>
              </w:rPr>
              <w:t>t</w:t>
            </w:r>
            <w:r w:rsidR="7690F7D3" w:rsidRPr="511E9FDA">
              <w:rPr>
                <w:lang w:val="fi-FI"/>
              </w:rPr>
              <w:t>yöskentelytapo</w:t>
            </w:r>
            <w:r w:rsidR="1DBEB637" w:rsidRPr="511E9FDA">
              <w:rPr>
                <w:lang w:val="fi-FI"/>
              </w:rPr>
              <w:t>ja</w:t>
            </w:r>
            <w:r w:rsidR="7690F7D3" w:rsidRPr="603F0873">
              <w:rPr>
                <w:lang w:val="fi-FI"/>
              </w:rPr>
              <w:t xml:space="preserve"> ja </w:t>
            </w:r>
            <w:r w:rsidR="7690F7D3" w:rsidRPr="511E9FDA">
              <w:rPr>
                <w:lang w:val="fi-FI"/>
              </w:rPr>
              <w:t>sisällyt</w:t>
            </w:r>
            <w:r w:rsidR="21081BBA" w:rsidRPr="511E9FDA">
              <w:rPr>
                <w:lang w:val="fi-FI"/>
              </w:rPr>
              <w:t>etään ne</w:t>
            </w:r>
            <w:r w:rsidR="7690F7D3" w:rsidRPr="603F0873">
              <w:rPr>
                <w:lang w:val="fi-FI"/>
              </w:rPr>
              <w:t xml:space="preserve"> kurssikuvauksiin </w:t>
            </w:r>
          </w:p>
          <w:p w14:paraId="6DD5C426" w14:textId="25AFFCA7" w:rsidR="0006441C" w:rsidRPr="00597608" w:rsidRDefault="0006441C" w:rsidP="603F0873">
            <w:pPr>
              <w:rPr>
                <w:lang w:val="fi-FI"/>
              </w:rPr>
            </w:pPr>
          </w:p>
          <w:p w14:paraId="43A69264" w14:textId="3F8B8AD9" w:rsidR="0006441C" w:rsidRPr="00597608" w:rsidRDefault="4C264A2B" w:rsidP="511E9FDA">
            <w:pPr>
              <w:rPr>
                <w:lang w:val="fi-FI"/>
              </w:rPr>
            </w:pPr>
            <w:r w:rsidRPr="603F0873">
              <w:rPr>
                <w:lang w:val="fi-FI"/>
              </w:rPr>
              <w:t xml:space="preserve">Modes of study </w:t>
            </w:r>
            <w:r w:rsidR="30F2794D" w:rsidRPr="511E9FDA">
              <w:rPr>
                <w:lang w:val="fi-FI"/>
              </w:rPr>
              <w:t>–</w:t>
            </w:r>
            <w:r w:rsidRPr="1D19C663">
              <w:rPr>
                <w:lang w:val="fi-FI"/>
              </w:rPr>
              <w:t>ohjeistu</w:t>
            </w:r>
            <w:r w:rsidR="59468E75" w:rsidRPr="1D19C663">
              <w:rPr>
                <w:lang w:val="fi-FI"/>
              </w:rPr>
              <w:t>ksen laatiminen</w:t>
            </w:r>
          </w:p>
          <w:p w14:paraId="0675D12F" w14:textId="571FC299" w:rsidR="0006441C" w:rsidRPr="00597608" w:rsidRDefault="0006441C" w:rsidP="511E9FDA">
            <w:pPr>
              <w:rPr>
                <w:lang w:val="fi-FI"/>
              </w:rPr>
            </w:pPr>
          </w:p>
          <w:p w14:paraId="61DD434E" w14:textId="77777777" w:rsidR="0006441C" w:rsidRDefault="59468E75" w:rsidP="007E340E">
            <w:pPr>
              <w:rPr>
                <w:lang w:val="fi-FI"/>
              </w:rPr>
            </w:pPr>
            <w:r w:rsidRPr="511E9FDA">
              <w:rPr>
                <w:lang w:val="fi-FI"/>
              </w:rPr>
              <w:t>Luodaan rakenne ohjauskeskusteluihin</w:t>
            </w:r>
          </w:p>
          <w:p w14:paraId="45CCCB78" w14:textId="77777777" w:rsidR="001D6EDA" w:rsidRDefault="001D6EDA" w:rsidP="007E340E">
            <w:pPr>
              <w:rPr>
                <w:lang w:val="fi-FI"/>
              </w:rPr>
            </w:pPr>
          </w:p>
          <w:p w14:paraId="5EC95415" w14:textId="317E5F7A" w:rsidR="001D6EDA" w:rsidRPr="00597608" w:rsidRDefault="00E3186C" w:rsidP="00E3186C">
            <w:pPr>
              <w:rPr>
                <w:lang w:val="fi-FI"/>
              </w:rPr>
            </w:pPr>
            <w:r>
              <w:rPr>
                <w:lang w:val="fi-FI"/>
              </w:rPr>
              <w:t>Sitoutetaan koko henkilökunta ohjaukseen</w:t>
            </w:r>
            <w:r w:rsidR="005C20F6">
              <w:rPr>
                <w:lang w:val="fi-FI"/>
              </w:rPr>
              <w:t xml:space="preserve">  (</w:t>
            </w:r>
            <w:r w:rsidR="005C20F6" w:rsidRPr="42C5A6E5">
              <w:rPr>
                <w:lang w:val="fi-FI"/>
              </w:rPr>
              <w:t>Student Life</w:t>
            </w:r>
            <w:r w:rsidR="005C20F6">
              <w:rPr>
                <w:lang w:val="fi-FI"/>
              </w:rPr>
              <w:t>, MoVi, YTHS</w:t>
            </w:r>
            <w:r w:rsidR="006357D1">
              <w:rPr>
                <w:lang w:val="fi-FI"/>
              </w:rPr>
              <w:t>)</w:t>
            </w:r>
          </w:p>
        </w:tc>
        <w:tc>
          <w:tcPr>
            <w:tcW w:w="3581" w:type="dxa"/>
          </w:tcPr>
          <w:p w14:paraId="0A974A9F" w14:textId="77777777" w:rsidR="00B611CD" w:rsidRDefault="0006441C" w:rsidP="00B611CD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00D46E2A">
              <w:rPr>
                <w:lang w:val="fi-FI"/>
              </w:rPr>
              <w:t>ohjaus</w:t>
            </w:r>
            <w:r w:rsidR="42C5A6E5" w:rsidRPr="42C5A6E5">
              <w:rPr>
                <w:lang w:val="fi-FI"/>
              </w:rPr>
              <w:t>keskustelut</w:t>
            </w:r>
            <w:r w:rsidR="00D46E2A">
              <w:rPr>
                <w:lang w:val="fi-FI"/>
              </w:rPr>
              <w:t xml:space="preserve"> (HOPS ym.)</w:t>
            </w:r>
            <w:r w:rsidRPr="00EA493F">
              <w:rPr>
                <w:lang w:val="fi-FI"/>
              </w:rPr>
              <w:br/>
            </w:r>
            <w:r w:rsidRPr="00EA493F">
              <w:rPr>
                <w:lang w:val="fi-FI"/>
              </w:rPr>
              <w:br/>
            </w:r>
            <w:r w:rsidR="42C5A6E5" w:rsidRPr="42C5A6E5">
              <w:rPr>
                <w:lang w:val="fi-FI"/>
              </w:rPr>
              <w:t xml:space="preserve">opintohallintohenkilökunnan tuki </w:t>
            </w:r>
          </w:p>
          <w:p w14:paraId="1CB050BF" w14:textId="3AD0133A" w:rsidR="00B611CD" w:rsidRDefault="00B611CD" w:rsidP="00B611CD">
            <w:pPr>
              <w:rPr>
                <w:lang w:val="fi-FI"/>
              </w:rPr>
            </w:pPr>
          </w:p>
          <w:p w14:paraId="0CAD80A0" w14:textId="3AD0133A" w:rsidR="0006441C" w:rsidRDefault="00B611CD" w:rsidP="00B611CD">
            <w:pPr>
              <w:rPr>
                <w:lang w:val="fi-FI"/>
              </w:rPr>
            </w:pPr>
            <w:r>
              <w:rPr>
                <w:lang w:val="fi-FI"/>
              </w:rPr>
              <w:t>laaditut ohjeistukset</w:t>
            </w:r>
          </w:p>
          <w:p w14:paraId="74B040AF" w14:textId="3AD0133A" w:rsidR="00776AE0" w:rsidRDefault="00776AE0" w:rsidP="00B611CD">
            <w:pPr>
              <w:rPr>
                <w:lang w:val="fi-FI"/>
              </w:rPr>
            </w:pPr>
          </w:p>
          <w:p w14:paraId="6CAB80FE" w14:textId="6C67F366" w:rsidR="00776AE0" w:rsidRPr="00597608" w:rsidRDefault="00776AE0" w:rsidP="00B611CD">
            <w:pPr>
              <w:rPr>
                <w:lang w:val="fi-FI"/>
              </w:rPr>
            </w:pPr>
          </w:p>
        </w:tc>
      </w:tr>
      <w:tr w:rsidR="0006441C" w:rsidRPr="001B1795" w14:paraId="563983DE" w14:textId="77777777" w:rsidTr="42C5A6E5">
        <w:trPr>
          <w:trHeight w:val="274"/>
        </w:trPr>
        <w:tc>
          <w:tcPr>
            <w:tcW w:w="3549" w:type="dxa"/>
          </w:tcPr>
          <w:p w14:paraId="05E4B656" w14:textId="49DA32CF" w:rsidR="0006441C" w:rsidRPr="00597608" w:rsidRDefault="0006441C" w:rsidP="42C5A6E5">
            <w:pPr>
              <w:rPr>
                <w:highlight w:val="yellow"/>
                <w:lang w:val="fi-FI"/>
              </w:rPr>
            </w:pPr>
          </w:p>
          <w:p w14:paraId="4BEF3138" w14:textId="45B5C039" w:rsidR="0006441C" w:rsidRPr="00597608" w:rsidRDefault="42C5A6E5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3.2 Osallistuminen</w:t>
            </w:r>
          </w:p>
        </w:tc>
        <w:tc>
          <w:tcPr>
            <w:tcW w:w="9204" w:type="dxa"/>
          </w:tcPr>
          <w:p w14:paraId="0C6483E1" w14:textId="097535C4" w:rsidR="0006441C" w:rsidRPr="00EB7482" w:rsidRDefault="2CBD9766" w:rsidP="42C5A6E5">
            <w:pPr>
              <w:rPr>
                <w:highlight w:val="yellow"/>
                <w:lang w:val="fi-FI"/>
              </w:rPr>
            </w:pPr>
            <w:r w:rsidRPr="00EA493F">
              <w:rPr>
                <w:lang w:val="fi-FI"/>
              </w:rPr>
              <w:br/>
            </w:r>
            <w:r w:rsidR="42C5A6E5" w:rsidRPr="00EB7482">
              <w:rPr>
                <w:rFonts w:ascii="Calibri" w:eastAsia="Calibri" w:hAnsi="Calibri" w:cs="Calibri"/>
                <w:highlight w:val="yellow"/>
                <w:lang w:val="fi-FI"/>
              </w:rPr>
              <w:t xml:space="preserve">Kansainvälinen henkilökunta kokee kuuluvansa </w:t>
            </w:r>
            <w:r w:rsidR="003446C2" w:rsidRPr="00EB7482">
              <w:rPr>
                <w:rFonts w:ascii="Calibri" w:eastAsia="Calibri" w:hAnsi="Calibri" w:cs="Calibri"/>
                <w:highlight w:val="yellow"/>
                <w:lang w:val="fi-FI"/>
              </w:rPr>
              <w:t xml:space="preserve">työyhteisöömme. </w:t>
            </w:r>
            <w:r w:rsidR="003446C2" w:rsidRPr="00EB7482">
              <w:rPr>
                <w:rFonts w:ascii="Calibri" w:eastAsia="Calibri" w:hAnsi="Calibri" w:cs="Calibri"/>
                <w:highlight w:val="yellow"/>
                <w:lang w:val="fi-FI"/>
              </w:rPr>
              <w:br/>
              <w:t>Taataan jokaiselle tasavertaiset mahdollisuudet osallistua</w:t>
            </w:r>
            <w:r w:rsidR="42C5A6E5" w:rsidRPr="00EB7482">
              <w:rPr>
                <w:rFonts w:ascii="Calibri" w:eastAsia="Calibri" w:hAnsi="Calibri" w:cs="Calibri"/>
                <w:highlight w:val="yellow"/>
                <w:lang w:val="fi-FI"/>
              </w:rPr>
              <w:t xml:space="preserve"> erilaisiin tehtäviin </w:t>
            </w:r>
            <w:r w:rsidR="003446C2" w:rsidRPr="00EB7482">
              <w:rPr>
                <w:rFonts w:ascii="Calibri" w:eastAsia="Calibri" w:hAnsi="Calibri" w:cs="Calibri"/>
                <w:highlight w:val="yellow"/>
                <w:lang w:val="fi-FI"/>
              </w:rPr>
              <w:t>tiedekunnassamme.</w:t>
            </w:r>
          </w:p>
          <w:p w14:paraId="34B81ADA" w14:textId="628D92F0" w:rsidR="0006441C" w:rsidRPr="00EB7482" w:rsidRDefault="0006441C" w:rsidP="42C5A6E5">
            <w:pPr>
              <w:rPr>
                <w:rFonts w:ascii="Calibri" w:eastAsia="Calibri" w:hAnsi="Calibri" w:cs="Calibri"/>
                <w:highlight w:val="yellow"/>
                <w:lang w:val="fi-FI"/>
              </w:rPr>
            </w:pPr>
          </w:p>
          <w:p w14:paraId="0B2AACA2" w14:textId="2CB3775D" w:rsidR="0006441C" w:rsidRPr="00FA5753" w:rsidRDefault="42C5A6E5" w:rsidP="42C5A6E5">
            <w:pPr>
              <w:rPr>
                <w:lang w:val="fi-FI"/>
              </w:rPr>
            </w:pPr>
            <w:r w:rsidRPr="00EB7482">
              <w:rPr>
                <w:rFonts w:ascii="Calibri" w:eastAsia="Calibri" w:hAnsi="Calibri" w:cs="Calibri"/>
                <w:highlight w:val="yellow"/>
                <w:lang w:val="fi-FI"/>
              </w:rPr>
              <w:t>Kansainvälinen henkilöstömme ja opiskelijamme sekä vierailijamme kok</w:t>
            </w:r>
            <w:r w:rsidR="00FA5753" w:rsidRPr="00EB7482">
              <w:rPr>
                <w:rFonts w:ascii="Calibri" w:eastAsia="Calibri" w:hAnsi="Calibri" w:cs="Calibri"/>
                <w:highlight w:val="yellow"/>
                <w:lang w:val="fi-FI"/>
              </w:rPr>
              <w:t xml:space="preserve">evat tiedekuntamme </w:t>
            </w:r>
            <w:r w:rsidRPr="00EB7482">
              <w:rPr>
                <w:rFonts w:ascii="Calibri" w:eastAsia="Calibri" w:hAnsi="Calibri" w:cs="Calibri"/>
                <w:highlight w:val="yellow"/>
                <w:lang w:val="fi-FI"/>
              </w:rPr>
              <w:t>vieraanvaraisena, kielellisesti saavutettavana ja kulttuurisesti avoimena.</w:t>
            </w:r>
          </w:p>
          <w:p w14:paraId="32401A18" w14:textId="0A6F524A" w:rsidR="0006441C" w:rsidRPr="00597608" w:rsidRDefault="0006441C" w:rsidP="42C5A6E5">
            <w:pPr>
              <w:rPr>
                <w:rFonts w:ascii="Calibri" w:eastAsia="Calibri" w:hAnsi="Calibri" w:cs="Calibri"/>
                <w:highlight w:val="yellow"/>
                <w:lang w:val="fi-FI"/>
              </w:rPr>
            </w:pPr>
          </w:p>
        </w:tc>
        <w:tc>
          <w:tcPr>
            <w:tcW w:w="4620" w:type="dxa"/>
          </w:tcPr>
          <w:p w14:paraId="0EDE47C3" w14:textId="2E5677B1" w:rsidR="0006441C" w:rsidRPr="00597608" w:rsidRDefault="0006441C" w:rsidP="42C5A6E5">
            <w:pPr>
              <w:rPr>
                <w:lang w:val="fi-FI"/>
              </w:rPr>
            </w:pPr>
          </w:p>
          <w:p w14:paraId="272638BC" w14:textId="77777777" w:rsidR="00C42BF4" w:rsidRPr="00EB7482" w:rsidRDefault="00C42BF4" w:rsidP="42C5A6E5">
            <w:pPr>
              <w:rPr>
                <w:highlight w:val="yellow"/>
                <w:lang w:val="fi-FI"/>
              </w:rPr>
            </w:pPr>
            <w:r w:rsidRPr="00EB7482">
              <w:rPr>
                <w:highlight w:val="yellow"/>
                <w:lang w:val="fi-FI"/>
              </w:rPr>
              <w:t xml:space="preserve">Kehitetään koko tiedekunnan moninaisuusosaamista. </w:t>
            </w:r>
          </w:p>
          <w:p w14:paraId="4BAA5CB9" w14:textId="77777777" w:rsidR="00C42BF4" w:rsidRPr="00EB7482" w:rsidRDefault="00C42BF4" w:rsidP="42C5A6E5">
            <w:pPr>
              <w:rPr>
                <w:highlight w:val="yellow"/>
                <w:lang w:val="fi-FI"/>
              </w:rPr>
            </w:pPr>
          </w:p>
          <w:p w14:paraId="33D51B39" w14:textId="2E5677B1" w:rsidR="0006441C" w:rsidRDefault="42C5A6E5" w:rsidP="42C5A6E5">
            <w:pPr>
              <w:rPr>
                <w:lang w:val="fi-FI"/>
              </w:rPr>
            </w:pPr>
            <w:r w:rsidRPr="00EB7482">
              <w:rPr>
                <w:highlight w:val="yellow"/>
                <w:lang w:val="fi-FI"/>
              </w:rPr>
              <w:t>Huolehditaan, että tarpeellinen tieto on saatavissa myös englanniksi.</w:t>
            </w:r>
            <w:r w:rsidRPr="42C5A6E5">
              <w:rPr>
                <w:lang w:val="fi-FI"/>
              </w:rPr>
              <w:t xml:space="preserve"> </w:t>
            </w:r>
          </w:p>
          <w:p w14:paraId="4A540501" w14:textId="77777777" w:rsidR="00497FCD" w:rsidRDefault="00497FCD" w:rsidP="42C5A6E5">
            <w:pPr>
              <w:rPr>
                <w:lang w:val="fi-FI"/>
              </w:rPr>
            </w:pPr>
          </w:p>
          <w:p w14:paraId="6035E202" w14:textId="6297A1C9" w:rsidR="000905BB" w:rsidRPr="00597608" w:rsidRDefault="008D3571" w:rsidP="003501BE">
            <w:pPr>
              <w:rPr>
                <w:lang w:val="fi-FI"/>
              </w:rPr>
            </w:pPr>
            <w:r>
              <w:rPr>
                <w:lang w:val="fi-FI"/>
              </w:rPr>
              <w:t xml:space="preserve">Kehitetään henkilöstön perehdyttämiskäytänteitä. </w:t>
            </w:r>
          </w:p>
        </w:tc>
        <w:tc>
          <w:tcPr>
            <w:tcW w:w="3581" w:type="dxa"/>
          </w:tcPr>
          <w:p w14:paraId="04778DD0" w14:textId="47EF7621" w:rsidR="0006441C" w:rsidRPr="00597608" w:rsidRDefault="0006441C" w:rsidP="42C5A6E5">
            <w:pPr>
              <w:rPr>
                <w:lang w:val="fi-FI"/>
              </w:rPr>
            </w:pPr>
            <w:r w:rsidRPr="00EA493F">
              <w:rPr>
                <w:lang w:val="fi-FI"/>
              </w:rPr>
              <w:br/>
            </w:r>
            <w:r w:rsidR="00081466">
              <w:rPr>
                <w:lang w:val="fi-FI"/>
              </w:rPr>
              <w:t>Ruusupuiston opasteet</w:t>
            </w:r>
            <w:r w:rsidR="00FD54DF">
              <w:rPr>
                <w:lang w:val="fi-FI"/>
              </w:rPr>
              <w:t xml:space="preserve"> ja ohjeistus</w:t>
            </w:r>
          </w:p>
          <w:p w14:paraId="5B8187DE" w14:textId="18A93DBF" w:rsidR="0006441C" w:rsidRPr="00597608" w:rsidRDefault="0006441C" w:rsidP="42C5A6E5">
            <w:pPr>
              <w:rPr>
                <w:lang w:val="fi-FI"/>
              </w:rPr>
            </w:pPr>
          </w:p>
          <w:p w14:paraId="1D914B3A" w14:textId="77777777" w:rsidR="00E520D4" w:rsidRDefault="00E520D4" w:rsidP="42C5A6E5">
            <w:pPr>
              <w:rPr>
                <w:lang w:val="fi-FI"/>
              </w:rPr>
            </w:pPr>
          </w:p>
          <w:p w14:paraId="0C7BED06" w14:textId="5C7142AB" w:rsidR="00E520D4" w:rsidRDefault="00E520D4" w:rsidP="42C5A6E5">
            <w:pPr>
              <w:rPr>
                <w:lang w:val="fi-FI"/>
              </w:rPr>
            </w:pPr>
            <w:r w:rsidRPr="42C5A6E5">
              <w:rPr>
                <w:lang w:val="fi-FI"/>
              </w:rPr>
              <w:t>ainejärjestöjen toiminta</w:t>
            </w:r>
          </w:p>
          <w:p w14:paraId="229EF2A0" w14:textId="77777777" w:rsidR="003501BE" w:rsidRDefault="003501BE" w:rsidP="42C5A6E5">
            <w:pPr>
              <w:rPr>
                <w:lang w:val="fi-FI"/>
              </w:rPr>
            </w:pPr>
          </w:p>
          <w:p w14:paraId="25EDBBF6" w14:textId="77777777" w:rsidR="003501BE" w:rsidRDefault="003501BE" w:rsidP="003501BE">
            <w:pPr>
              <w:rPr>
                <w:lang w:val="fi-FI"/>
              </w:rPr>
            </w:pPr>
            <w:r>
              <w:rPr>
                <w:lang w:val="fi-FI"/>
              </w:rPr>
              <w:t xml:space="preserve">Nimetään kullekin uudelle työntekijälle oma vastuuperehdyttäjä. </w:t>
            </w:r>
          </w:p>
          <w:p w14:paraId="328153A6" w14:textId="77777777" w:rsidR="003501BE" w:rsidRDefault="003501BE" w:rsidP="42C5A6E5">
            <w:pPr>
              <w:rPr>
                <w:lang w:val="fi-FI"/>
              </w:rPr>
            </w:pPr>
          </w:p>
          <w:p w14:paraId="0E2C5806" w14:textId="29924929" w:rsidR="009A5A3C" w:rsidRPr="00597608" w:rsidRDefault="00BF0EC5" w:rsidP="42C5A6E5">
            <w:pPr>
              <w:rPr>
                <w:lang w:val="fi-FI"/>
              </w:rPr>
            </w:pPr>
            <w:r>
              <w:rPr>
                <w:lang w:val="fi-FI"/>
              </w:rPr>
              <w:t xml:space="preserve">Henkilökunnan Teams-ryhmä </w:t>
            </w:r>
            <w:r w:rsidR="00A05589">
              <w:rPr>
                <w:lang w:val="fi-FI"/>
              </w:rPr>
              <w:t>ei-työasioille (F</w:t>
            </w:r>
            <w:r w:rsidR="000C1558">
              <w:rPr>
                <w:lang w:val="fi-FI"/>
              </w:rPr>
              <w:t>ree for</w:t>
            </w:r>
            <w:r w:rsidR="00A05589">
              <w:rPr>
                <w:lang w:val="fi-FI"/>
              </w:rPr>
              <w:t xml:space="preserve"> JYU)</w:t>
            </w:r>
          </w:p>
        </w:tc>
      </w:tr>
      <w:tr w:rsidR="00597608" w:rsidRPr="001B1795" w14:paraId="0DCCEAEE" w14:textId="77777777" w:rsidTr="42C5A6E5">
        <w:trPr>
          <w:trHeight w:val="2684"/>
        </w:trPr>
        <w:tc>
          <w:tcPr>
            <w:tcW w:w="3549" w:type="dxa"/>
          </w:tcPr>
          <w:p w14:paraId="2CA8C742" w14:textId="2DFB1F73" w:rsidR="00597608" w:rsidRPr="00597608" w:rsidRDefault="00597608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7979C3AF" w14:textId="02752CE5" w:rsidR="00597608" w:rsidRPr="00597608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  <w:r w:rsidRPr="42C5A6E5">
              <w:rPr>
                <w:rFonts w:ascii="Calibri" w:eastAsia="Calibri" w:hAnsi="Calibri" w:cs="Calibri"/>
                <w:lang w:val="fi-FI"/>
              </w:rPr>
              <w:t>3.3 Yhteiskunnallinen vaikuttavuus</w:t>
            </w:r>
          </w:p>
        </w:tc>
        <w:tc>
          <w:tcPr>
            <w:tcW w:w="9204" w:type="dxa"/>
          </w:tcPr>
          <w:p w14:paraId="5615B6BB" w14:textId="7B08F5DD" w:rsidR="42C5A6E5" w:rsidRPr="00975A21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</w:p>
          <w:p w14:paraId="0B0F8DE6" w14:textId="71374653" w:rsidR="00597608" w:rsidRPr="00975A21" w:rsidRDefault="42C5A6E5" w:rsidP="42C5A6E5">
            <w:pPr>
              <w:rPr>
                <w:rFonts w:ascii="Calibri" w:eastAsia="Calibri" w:hAnsi="Calibri" w:cs="Calibri"/>
                <w:lang w:val="fi-FI"/>
              </w:rPr>
            </w:pPr>
            <w:r w:rsidRPr="00975A21">
              <w:rPr>
                <w:rFonts w:ascii="Calibri" w:eastAsia="Calibri" w:hAnsi="Calibri" w:cs="Calibri"/>
                <w:lang w:val="fi-FI"/>
              </w:rPr>
              <w:t>Vastuullisesti ja verkostomaisesti to</w:t>
            </w:r>
            <w:r w:rsidR="00576536">
              <w:rPr>
                <w:rFonts w:ascii="Calibri" w:eastAsia="Calibri" w:hAnsi="Calibri" w:cs="Calibri"/>
                <w:lang w:val="fi-FI"/>
              </w:rPr>
              <w:t xml:space="preserve">imivat </w:t>
            </w:r>
            <w:r w:rsidR="00B94BF9">
              <w:rPr>
                <w:rFonts w:ascii="Calibri" w:eastAsia="Calibri" w:hAnsi="Calibri" w:cs="Calibri"/>
                <w:lang w:val="fi-FI"/>
              </w:rPr>
              <w:t>yhteisömme jäsenet</w:t>
            </w:r>
            <w:r w:rsidRPr="00975A21">
              <w:rPr>
                <w:rFonts w:ascii="Calibri" w:eastAsia="Calibri" w:hAnsi="Calibri" w:cs="Calibri"/>
                <w:lang w:val="fi-FI"/>
              </w:rPr>
              <w:t xml:space="preserve"> vaikuttavat oman alansa kehitykseen</w:t>
            </w:r>
          </w:p>
          <w:p w14:paraId="7F58628A" w14:textId="2A8D1C59" w:rsidR="00597608" w:rsidRPr="00597608" w:rsidRDefault="42C5A6E5" w:rsidP="42C5A6E5">
            <w:pPr>
              <w:rPr>
                <w:rFonts w:ascii="Calibri" w:eastAsia="Calibri" w:hAnsi="Calibri" w:cs="Calibri"/>
                <w:highlight w:val="yellow"/>
                <w:lang w:val="fi-FI"/>
              </w:rPr>
            </w:pPr>
            <w:r w:rsidRPr="42C5A6E5">
              <w:rPr>
                <w:rFonts w:ascii="Calibri" w:eastAsia="Calibri" w:hAnsi="Calibri" w:cs="Calibri"/>
                <w:highlight w:val="yellow"/>
                <w:lang w:val="fi-FI"/>
              </w:rPr>
              <w:t xml:space="preserve"> </w:t>
            </w:r>
          </w:p>
          <w:p w14:paraId="63DADFFC" w14:textId="5FD69173" w:rsidR="00597608" w:rsidRPr="00597608" w:rsidRDefault="00597608" w:rsidP="42C5A6E5">
            <w:pPr>
              <w:rPr>
                <w:rFonts w:ascii="Calibri" w:eastAsia="Calibri" w:hAnsi="Calibri" w:cs="Calibri"/>
                <w:highlight w:val="yellow"/>
                <w:lang w:val="fi-FI"/>
              </w:rPr>
            </w:pPr>
          </w:p>
          <w:p w14:paraId="4F551A38" w14:textId="7AEB6621" w:rsidR="00597608" w:rsidRPr="00597608" w:rsidRDefault="00597608" w:rsidP="42C5A6E5">
            <w:pPr>
              <w:rPr>
                <w:rFonts w:ascii="Calibri" w:eastAsia="Calibri" w:hAnsi="Calibri" w:cs="Calibri"/>
                <w:highlight w:val="yellow"/>
                <w:lang w:val="fi-FI"/>
              </w:rPr>
            </w:pPr>
          </w:p>
        </w:tc>
        <w:tc>
          <w:tcPr>
            <w:tcW w:w="4620" w:type="dxa"/>
          </w:tcPr>
          <w:p w14:paraId="777F0C4C" w14:textId="77777777" w:rsidR="00597608" w:rsidRDefault="00597608" w:rsidP="2CBD9766">
            <w:pPr>
              <w:rPr>
                <w:rFonts w:ascii="Calibri" w:eastAsia="Calibri" w:hAnsi="Calibri" w:cs="Calibri"/>
                <w:lang w:val="fi-FI"/>
              </w:rPr>
            </w:pPr>
          </w:p>
          <w:p w14:paraId="0960DD00" w14:textId="15DCD1FD" w:rsidR="008D36D8" w:rsidRDefault="008D36D8" w:rsidP="2CBD9766">
            <w:pPr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eastAsia="Calibri" w:hAnsi="Calibri" w:cs="Calibri"/>
                <w:lang w:val="fi-FI"/>
              </w:rPr>
              <w:t>Ollaan mukana aktiiv</w:t>
            </w:r>
            <w:r w:rsidR="00533A12">
              <w:rPr>
                <w:rFonts w:ascii="Calibri" w:eastAsia="Calibri" w:hAnsi="Calibri" w:cs="Calibri"/>
                <w:lang w:val="fi-FI"/>
              </w:rPr>
              <w:t xml:space="preserve">isesti oman alan tutkimuksessa ja kehittämisessä. </w:t>
            </w:r>
          </w:p>
          <w:p w14:paraId="23B858C1" w14:textId="77777777" w:rsidR="00533A12" w:rsidRDefault="00533A12" w:rsidP="2CBD9766">
            <w:pPr>
              <w:rPr>
                <w:rFonts w:ascii="Calibri" w:eastAsia="Calibri" w:hAnsi="Calibri" w:cs="Calibri"/>
                <w:lang w:val="fi-FI"/>
              </w:rPr>
            </w:pPr>
          </w:p>
          <w:p w14:paraId="03576A8C" w14:textId="30F78D49" w:rsidR="00A712AE" w:rsidRDefault="00A712AE" w:rsidP="2CBD9766">
            <w:pPr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eastAsia="Calibri" w:hAnsi="Calibri" w:cs="Calibri"/>
                <w:lang w:val="fi-FI"/>
              </w:rPr>
              <w:t xml:space="preserve">Tehdään näkyväksi tiedekunnan toimintaa. </w:t>
            </w:r>
            <w:r w:rsidR="00A44841">
              <w:rPr>
                <w:rFonts w:ascii="Calibri" w:eastAsia="Calibri" w:hAnsi="Calibri" w:cs="Calibri"/>
                <w:lang w:val="fi-FI"/>
              </w:rPr>
              <w:br/>
            </w:r>
            <w:r w:rsidR="00C501FC">
              <w:rPr>
                <w:rFonts w:ascii="Calibri" w:eastAsia="Calibri" w:hAnsi="Calibri" w:cs="Calibri"/>
                <w:lang w:val="fi-FI"/>
              </w:rPr>
              <w:br/>
            </w:r>
            <w:r w:rsidR="00C501FC">
              <w:rPr>
                <w:rFonts w:ascii="Calibri" w:eastAsia="Calibri" w:hAnsi="Calibri" w:cs="Calibri"/>
                <w:lang w:val="fi-FI"/>
              </w:rPr>
              <w:br/>
            </w:r>
            <w:r w:rsidR="00A44841">
              <w:rPr>
                <w:rFonts w:ascii="Calibri" w:eastAsia="Calibri" w:hAnsi="Calibri" w:cs="Calibri"/>
                <w:lang w:val="fi-FI"/>
              </w:rPr>
              <w:t xml:space="preserve">Toimitaan aktiivisesti kansainvälisessä koulutusyhteistyössä. </w:t>
            </w:r>
          </w:p>
          <w:p w14:paraId="5AD57254" w14:textId="77777777" w:rsidR="008D36D8" w:rsidRDefault="008D36D8" w:rsidP="2CBD9766">
            <w:pPr>
              <w:rPr>
                <w:rFonts w:ascii="Calibri" w:eastAsia="Calibri" w:hAnsi="Calibri" w:cs="Calibri"/>
                <w:lang w:val="fi-FI"/>
              </w:rPr>
            </w:pPr>
          </w:p>
          <w:p w14:paraId="0EDBA3BF" w14:textId="37D0A84D" w:rsidR="008D36D8" w:rsidRPr="00597608" w:rsidRDefault="008D36D8" w:rsidP="2CBD9766">
            <w:pPr>
              <w:rPr>
                <w:rFonts w:ascii="Calibri" w:eastAsia="Calibri" w:hAnsi="Calibri" w:cs="Calibri"/>
                <w:lang w:val="fi-FI"/>
              </w:rPr>
            </w:pPr>
          </w:p>
        </w:tc>
        <w:tc>
          <w:tcPr>
            <w:tcW w:w="3581" w:type="dxa"/>
          </w:tcPr>
          <w:p w14:paraId="737BE151" w14:textId="77777777" w:rsidR="008D36D8" w:rsidRDefault="00A712AE" w:rsidP="2CBD9766">
            <w:pPr>
              <w:rPr>
                <w:lang w:val="fi-FI"/>
              </w:rPr>
            </w:pPr>
            <w:r>
              <w:rPr>
                <w:lang w:val="fi-FI"/>
              </w:rPr>
              <w:br/>
            </w:r>
          </w:p>
          <w:p w14:paraId="24E369F4" w14:textId="2B142EE3" w:rsidR="00533A12" w:rsidRDefault="00D01B07" w:rsidP="2CBD9766">
            <w:pPr>
              <w:rPr>
                <w:lang w:val="fi-FI"/>
              </w:rPr>
            </w:pPr>
            <w:r>
              <w:rPr>
                <w:lang w:val="fi-FI"/>
              </w:rPr>
              <w:t>Ruusuja ja Kärkiä</w:t>
            </w:r>
          </w:p>
          <w:p w14:paraId="25E6D489" w14:textId="77777777" w:rsidR="00533A12" w:rsidRDefault="00533A12" w:rsidP="2CBD9766">
            <w:pPr>
              <w:rPr>
                <w:lang w:val="fi-FI"/>
              </w:rPr>
            </w:pPr>
          </w:p>
          <w:p w14:paraId="1B25A237" w14:textId="3CFD9315" w:rsidR="00597608" w:rsidRDefault="00A712AE" w:rsidP="2CBD9766">
            <w:pPr>
              <w:rPr>
                <w:lang w:val="fi-FI"/>
              </w:rPr>
            </w:pPr>
            <w:r>
              <w:rPr>
                <w:lang w:val="fi-FI"/>
              </w:rPr>
              <w:t xml:space="preserve">Ruusupuisto tutkii ja keskustelee </w:t>
            </w:r>
            <w:r w:rsidR="00A6541A">
              <w:rPr>
                <w:lang w:val="fi-FI"/>
              </w:rPr>
              <w:br/>
            </w:r>
            <w:r w:rsidR="00C501FC">
              <w:rPr>
                <w:lang w:val="fi-FI"/>
              </w:rPr>
              <w:br/>
            </w:r>
            <w:r w:rsidR="00A6541A">
              <w:rPr>
                <w:lang w:val="fi-FI"/>
              </w:rPr>
              <w:t xml:space="preserve">SDG-seminaari </w:t>
            </w:r>
            <w:r w:rsidR="00E01000">
              <w:rPr>
                <w:lang w:val="fi-FI"/>
              </w:rPr>
              <w:br/>
            </w:r>
            <w:r w:rsidR="00E01000">
              <w:rPr>
                <w:lang w:val="fi-FI"/>
              </w:rPr>
              <w:br/>
              <w:t>Hankkeet, EduCluster-yhteistyö, verkostot, alumnityö</w:t>
            </w:r>
          </w:p>
        </w:tc>
      </w:tr>
    </w:tbl>
    <w:p w14:paraId="4B81D9FE" w14:textId="77777777" w:rsidR="00ED22B1" w:rsidRPr="00ED22B1" w:rsidRDefault="00ED22B1" w:rsidP="42C5A6E5">
      <w:pPr>
        <w:rPr>
          <w:lang w:val="fi-FI"/>
        </w:rPr>
      </w:pPr>
    </w:p>
    <w:p w14:paraId="50D118B4" w14:textId="6355B4F7" w:rsidR="42C5A6E5" w:rsidRDefault="42C5A6E5" w:rsidP="42C5A6E5">
      <w:pPr>
        <w:rPr>
          <w:lang w:val="fi-FI"/>
        </w:rPr>
      </w:pPr>
    </w:p>
    <w:sectPr w:rsidR="42C5A6E5" w:rsidSect="003352F5">
      <w:headerReference w:type="default" r:id="rId12"/>
      <w:footerReference w:type="default" r:id="rId13"/>
      <w:pgSz w:w="23820" w:h="16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osti-Ahokas, Hanna" w:date="2019-05-21T14:52:00Z" w:initials="PH">
    <w:p w14:paraId="0855714E" w14:textId="3EFC770E" w:rsidR="007E340E" w:rsidRPr="00597608" w:rsidRDefault="007E340E">
      <w:pPr>
        <w:rPr>
          <w:lang w:val="fi-FI"/>
        </w:rPr>
      </w:pPr>
      <w:r w:rsidRPr="00597608">
        <w:rPr>
          <w:lang w:val="fi-FI"/>
        </w:rPr>
        <w:t xml:space="preserve">Tiedän että olen fiksoitunut relevanssiin. Voisiko tässä puhua kansainvälisesti relevantista kompetenssista? Näin voisimme viitata sekä kotiopiskelijoihin, kv opiskelijoihin ja henkilökuntaan. Opiskelu- ja työkokemus JYU:sta pitäisi olla arvokasta kansainvälisillä työmarkkinoilla. </w:t>
      </w:r>
      <w:r>
        <w:annotationRef/>
      </w:r>
    </w:p>
  </w:comment>
  <w:comment w:id="2" w:author="Posti-Ahokas, Hanna" w:date="2019-05-21T14:42:00Z" w:initials="PH">
    <w:p w14:paraId="6451241F" w14:textId="18C0E4F9" w:rsidR="007E340E" w:rsidRPr="00597608" w:rsidRDefault="007E340E">
      <w:pPr>
        <w:rPr>
          <w:lang w:val="fi-FI"/>
        </w:rPr>
      </w:pPr>
      <w:r w:rsidRPr="00597608">
        <w:rPr>
          <w:lang w:val="fi-FI"/>
        </w:rPr>
        <w:t>Näitä lienee tarkoituksellista priorisoida. Mihin keskitytään ensiksi? Tarvitaanko sarake aikatauluille? Entä kuinka konkreettisia (mitattavia) tuloksia lähdetään tavoittelemaan?</w:t>
      </w:r>
      <w:r>
        <w:annotationRef/>
      </w:r>
    </w:p>
    <w:p w14:paraId="113FAEEA" w14:textId="3AE4E226" w:rsidR="007E340E" w:rsidRPr="00597608" w:rsidRDefault="007E340E">
      <w:pPr>
        <w:rPr>
          <w:lang w:val="fi-FI"/>
        </w:rPr>
      </w:pPr>
    </w:p>
  </w:comment>
  <w:comment w:id="3" w:author="Posti-Ahokas, Hanna" w:date="2019-05-21T14:41:00Z" w:initials="PH">
    <w:p w14:paraId="4630AB1F" w14:textId="2C78F57B" w:rsidR="007E340E" w:rsidRDefault="007E340E" w:rsidP="4E4F8A3F">
      <w:pPr>
        <w:pStyle w:val="Kommentinteksti"/>
      </w:pPr>
      <w:r>
        <w:t>Kts. myös kolmoskohta</w:t>
      </w:r>
      <w:r>
        <w:rPr>
          <w:rStyle w:val="Kommentinviit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55714E" w15:done="0"/>
  <w15:commentEx w15:paraId="113FAEEA" w15:done="0"/>
  <w15:commentEx w15:paraId="4630AB1F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855714E" w16cid:durableId="511609C6"/>
  <w16cid:commentId w16cid:paraId="113FAEEA" w16cid:durableId="658FBA14"/>
  <w16cid:commentId w16cid:paraId="4630AB1F" w16cid:durableId="5A6B00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10D2F" w14:textId="77777777" w:rsidR="007E340E" w:rsidRDefault="007E340E" w:rsidP="005E559F">
      <w:pPr>
        <w:spacing w:after="0" w:line="240" w:lineRule="auto"/>
      </w:pPr>
      <w:r>
        <w:separator/>
      </w:r>
    </w:p>
  </w:endnote>
  <w:endnote w:type="continuationSeparator" w:id="0">
    <w:p w14:paraId="0811DB04" w14:textId="77777777" w:rsidR="007E340E" w:rsidRDefault="007E340E" w:rsidP="005E559F">
      <w:pPr>
        <w:spacing w:after="0" w:line="240" w:lineRule="auto"/>
      </w:pPr>
      <w:r>
        <w:continuationSeparator/>
      </w:r>
    </w:p>
  </w:endnote>
  <w:endnote w:type="continuationNotice" w:id="1">
    <w:p w14:paraId="53C176F5" w14:textId="77777777" w:rsidR="007E340E" w:rsidRDefault="007E3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80"/>
      <w:gridCol w:w="6980"/>
      <w:gridCol w:w="6980"/>
    </w:tblGrid>
    <w:tr w:rsidR="007E340E" w14:paraId="69CC9B19" w14:textId="77777777" w:rsidTr="5F95D855">
      <w:tc>
        <w:tcPr>
          <w:tcW w:w="6980" w:type="dxa"/>
        </w:tcPr>
        <w:p w14:paraId="19096DBB" w14:textId="04192C34" w:rsidR="007E340E" w:rsidRDefault="007E340E" w:rsidP="5F95D855">
          <w:pPr>
            <w:pStyle w:val="Yltunniste"/>
            <w:ind w:left="-115"/>
          </w:pPr>
        </w:p>
      </w:tc>
      <w:tc>
        <w:tcPr>
          <w:tcW w:w="6980" w:type="dxa"/>
        </w:tcPr>
        <w:p w14:paraId="1F039B60" w14:textId="1D7C939B" w:rsidR="007E340E" w:rsidRDefault="007E340E" w:rsidP="5F95D855">
          <w:pPr>
            <w:pStyle w:val="Yltunniste"/>
            <w:jc w:val="center"/>
          </w:pPr>
        </w:p>
      </w:tc>
      <w:tc>
        <w:tcPr>
          <w:tcW w:w="6980" w:type="dxa"/>
        </w:tcPr>
        <w:p w14:paraId="0C27C5C6" w14:textId="284104D8" w:rsidR="007E340E" w:rsidRDefault="007E340E" w:rsidP="5F95D855">
          <w:pPr>
            <w:pStyle w:val="Yltunniste"/>
            <w:ind w:right="-115"/>
            <w:jc w:val="right"/>
          </w:pPr>
        </w:p>
      </w:tc>
    </w:tr>
  </w:tbl>
  <w:p w14:paraId="3C55CE58" w14:textId="10DD1C89" w:rsidR="007E340E" w:rsidRDefault="007E34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1989" w14:textId="77777777" w:rsidR="007E340E" w:rsidRDefault="007E340E" w:rsidP="005E559F">
      <w:pPr>
        <w:spacing w:after="0" w:line="240" w:lineRule="auto"/>
      </w:pPr>
      <w:r>
        <w:separator/>
      </w:r>
    </w:p>
  </w:footnote>
  <w:footnote w:type="continuationSeparator" w:id="0">
    <w:p w14:paraId="20CA091B" w14:textId="77777777" w:rsidR="007E340E" w:rsidRDefault="007E340E" w:rsidP="005E559F">
      <w:pPr>
        <w:spacing w:after="0" w:line="240" w:lineRule="auto"/>
      </w:pPr>
      <w:r>
        <w:continuationSeparator/>
      </w:r>
    </w:p>
  </w:footnote>
  <w:footnote w:type="continuationNotice" w:id="1">
    <w:p w14:paraId="0AA4F801" w14:textId="77777777" w:rsidR="007E340E" w:rsidRDefault="007E3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80"/>
      <w:gridCol w:w="6980"/>
      <w:gridCol w:w="6980"/>
    </w:tblGrid>
    <w:tr w:rsidR="007E340E" w14:paraId="00A50EF7" w14:textId="77777777" w:rsidTr="5F95D855">
      <w:tc>
        <w:tcPr>
          <w:tcW w:w="6980" w:type="dxa"/>
        </w:tcPr>
        <w:p w14:paraId="4D70EAAF" w14:textId="3C9E6F5D" w:rsidR="007E340E" w:rsidRDefault="007E340E" w:rsidP="5F95D855">
          <w:pPr>
            <w:pStyle w:val="Yltunniste"/>
            <w:ind w:left="-115"/>
          </w:pPr>
          <w:r>
            <w:t>AKTIIVINEN KANSAINVÄLISYYS</w:t>
          </w:r>
        </w:p>
      </w:tc>
      <w:tc>
        <w:tcPr>
          <w:tcW w:w="6980" w:type="dxa"/>
        </w:tcPr>
        <w:p w14:paraId="42801A84" w14:textId="66A7FA3B" w:rsidR="007E340E" w:rsidRDefault="007E340E" w:rsidP="5F95D855">
          <w:pPr>
            <w:pStyle w:val="Yltunniste"/>
            <w:jc w:val="center"/>
          </w:pPr>
        </w:p>
      </w:tc>
      <w:tc>
        <w:tcPr>
          <w:tcW w:w="6980" w:type="dxa"/>
        </w:tcPr>
        <w:p w14:paraId="2F793193" w14:textId="2C4E9E4B" w:rsidR="007E340E" w:rsidRDefault="007E340E" w:rsidP="5F95D855">
          <w:pPr>
            <w:pStyle w:val="Yltunniste"/>
            <w:ind w:right="-115"/>
            <w:jc w:val="right"/>
          </w:pPr>
        </w:p>
      </w:tc>
    </w:tr>
  </w:tbl>
  <w:p w14:paraId="20739335" w14:textId="5C2D0FA5" w:rsidR="007E340E" w:rsidRDefault="007E34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46F74"/>
    <w:multiLevelType w:val="hybridMultilevel"/>
    <w:tmpl w:val="5A3E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sti-Ahokas, Hanna">
    <w15:presenceInfo w15:providerId="AD" w15:userId="S::hamapost@jyu.fi::5fabcbda-24dc-4ec8-8008-44baf1914a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1A04B"/>
    <w:rsid w:val="0001044F"/>
    <w:rsid w:val="0006441C"/>
    <w:rsid w:val="00081466"/>
    <w:rsid w:val="000905BB"/>
    <w:rsid w:val="000A2AF0"/>
    <w:rsid w:val="000C1558"/>
    <w:rsid w:val="000C570E"/>
    <w:rsid w:val="000D071A"/>
    <w:rsid w:val="000D4BF7"/>
    <w:rsid w:val="000E21DC"/>
    <w:rsid w:val="000E5000"/>
    <w:rsid w:val="000E7051"/>
    <w:rsid w:val="00176972"/>
    <w:rsid w:val="00176FB3"/>
    <w:rsid w:val="0019793E"/>
    <w:rsid w:val="001B1795"/>
    <w:rsid w:val="001B7509"/>
    <w:rsid w:val="001D6EDA"/>
    <w:rsid w:val="001D7C6D"/>
    <w:rsid w:val="002239CC"/>
    <w:rsid w:val="0028062D"/>
    <w:rsid w:val="00291D93"/>
    <w:rsid w:val="002A4CCF"/>
    <w:rsid w:val="002B349B"/>
    <w:rsid w:val="002C6A2D"/>
    <w:rsid w:val="003270A4"/>
    <w:rsid w:val="003352F5"/>
    <w:rsid w:val="003446C2"/>
    <w:rsid w:val="00346F38"/>
    <w:rsid w:val="003501BE"/>
    <w:rsid w:val="00351F3F"/>
    <w:rsid w:val="0037013E"/>
    <w:rsid w:val="00381A82"/>
    <w:rsid w:val="0038772A"/>
    <w:rsid w:val="003C6A15"/>
    <w:rsid w:val="004340C3"/>
    <w:rsid w:val="0047677F"/>
    <w:rsid w:val="00477A53"/>
    <w:rsid w:val="0048250B"/>
    <w:rsid w:val="0048441C"/>
    <w:rsid w:val="00486CC1"/>
    <w:rsid w:val="00497FCD"/>
    <w:rsid w:val="004A49FA"/>
    <w:rsid w:val="004D78FC"/>
    <w:rsid w:val="004F00E4"/>
    <w:rsid w:val="004F5B44"/>
    <w:rsid w:val="00533A12"/>
    <w:rsid w:val="005602C0"/>
    <w:rsid w:val="00576536"/>
    <w:rsid w:val="00584A65"/>
    <w:rsid w:val="00597608"/>
    <w:rsid w:val="005B772F"/>
    <w:rsid w:val="005C20F6"/>
    <w:rsid w:val="005C2D75"/>
    <w:rsid w:val="005C71BC"/>
    <w:rsid w:val="005D5872"/>
    <w:rsid w:val="005E559F"/>
    <w:rsid w:val="00617ED7"/>
    <w:rsid w:val="006357D1"/>
    <w:rsid w:val="00636510"/>
    <w:rsid w:val="00655BBA"/>
    <w:rsid w:val="006758AE"/>
    <w:rsid w:val="006A467E"/>
    <w:rsid w:val="006A64E6"/>
    <w:rsid w:val="006E4EC3"/>
    <w:rsid w:val="006F7650"/>
    <w:rsid w:val="0072611C"/>
    <w:rsid w:val="007446D3"/>
    <w:rsid w:val="00776AE0"/>
    <w:rsid w:val="007921C8"/>
    <w:rsid w:val="007D68E1"/>
    <w:rsid w:val="007E340E"/>
    <w:rsid w:val="007F5624"/>
    <w:rsid w:val="00803C99"/>
    <w:rsid w:val="008457B4"/>
    <w:rsid w:val="0085692A"/>
    <w:rsid w:val="008C1D82"/>
    <w:rsid w:val="008D3571"/>
    <w:rsid w:val="008D36D8"/>
    <w:rsid w:val="008E1240"/>
    <w:rsid w:val="00903DE5"/>
    <w:rsid w:val="00923B48"/>
    <w:rsid w:val="00950F0B"/>
    <w:rsid w:val="0097052A"/>
    <w:rsid w:val="00975A21"/>
    <w:rsid w:val="00987FBB"/>
    <w:rsid w:val="009A1D3A"/>
    <w:rsid w:val="009A43E2"/>
    <w:rsid w:val="009A5A3C"/>
    <w:rsid w:val="009C4987"/>
    <w:rsid w:val="009D38FD"/>
    <w:rsid w:val="00A05589"/>
    <w:rsid w:val="00A118E4"/>
    <w:rsid w:val="00A44841"/>
    <w:rsid w:val="00A623BE"/>
    <w:rsid w:val="00A6541A"/>
    <w:rsid w:val="00A712AE"/>
    <w:rsid w:val="00A95317"/>
    <w:rsid w:val="00B056CF"/>
    <w:rsid w:val="00B23ECF"/>
    <w:rsid w:val="00B611CD"/>
    <w:rsid w:val="00B87946"/>
    <w:rsid w:val="00B94BF9"/>
    <w:rsid w:val="00BC6330"/>
    <w:rsid w:val="00BD4EEE"/>
    <w:rsid w:val="00BE7A7E"/>
    <w:rsid w:val="00BF0EC5"/>
    <w:rsid w:val="00C10266"/>
    <w:rsid w:val="00C42BF4"/>
    <w:rsid w:val="00C501FC"/>
    <w:rsid w:val="00C51F43"/>
    <w:rsid w:val="00CB7119"/>
    <w:rsid w:val="00CB72D5"/>
    <w:rsid w:val="00CF1908"/>
    <w:rsid w:val="00CF269C"/>
    <w:rsid w:val="00D01B07"/>
    <w:rsid w:val="00D022DB"/>
    <w:rsid w:val="00D3331D"/>
    <w:rsid w:val="00D46E2A"/>
    <w:rsid w:val="00D937AB"/>
    <w:rsid w:val="00DC01E0"/>
    <w:rsid w:val="00DC7C2D"/>
    <w:rsid w:val="00DD3C16"/>
    <w:rsid w:val="00DE7A2F"/>
    <w:rsid w:val="00E01000"/>
    <w:rsid w:val="00E162B4"/>
    <w:rsid w:val="00E3186C"/>
    <w:rsid w:val="00E46E41"/>
    <w:rsid w:val="00E520D4"/>
    <w:rsid w:val="00E67451"/>
    <w:rsid w:val="00E816A3"/>
    <w:rsid w:val="00EA493F"/>
    <w:rsid w:val="00EB7482"/>
    <w:rsid w:val="00ED22B1"/>
    <w:rsid w:val="00ED6840"/>
    <w:rsid w:val="00ED6AFA"/>
    <w:rsid w:val="00F13B5F"/>
    <w:rsid w:val="00F1417C"/>
    <w:rsid w:val="00F1586C"/>
    <w:rsid w:val="00F4118C"/>
    <w:rsid w:val="00F67D48"/>
    <w:rsid w:val="00F74648"/>
    <w:rsid w:val="00FA5753"/>
    <w:rsid w:val="00FB5A98"/>
    <w:rsid w:val="00FD54DF"/>
    <w:rsid w:val="00FE1781"/>
    <w:rsid w:val="04D1A04B"/>
    <w:rsid w:val="0628C693"/>
    <w:rsid w:val="0A6B3D8E"/>
    <w:rsid w:val="10559823"/>
    <w:rsid w:val="1D19C663"/>
    <w:rsid w:val="1DBEB637"/>
    <w:rsid w:val="1E6A4203"/>
    <w:rsid w:val="21081BBA"/>
    <w:rsid w:val="23FCE776"/>
    <w:rsid w:val="259AD306"/>
    <w:rsid w:val="28AADDBC"/>
    <w:rsid w:val="2CBD9766"/>
    <w:rsid w:val="2F9EB0F2"/>
    <w:rsid w:val="30F2794D"/>
    <w:rsid w:val="34C5B628"/>
    <w:rsid w:val="364AD4A5"/>
    <w:rsid w:val="3BAB6C86"/>
    <w:rsid w:val="3BCB9B7A"/>
    <w:rsid w:val="3C5B5610"/>
    <w:rsid w:val="3D9140AC"/>
    <w:rsid w:val="3F4B708B"/>
    <w:rsid w:val="42C5A6E5"/>
    <w:rsid w:val="465264CB"/>
    <w:rsid w:val="4C264A2B"/>
    <w:rsid w:val="4E2EB44C"/>
    <w:rsid w:val="4E4F8A3F"/>
    <w:rsid w:val="511E9FDA"/>
    <w:rsid w:val="51796583"/>
    <w:rsid w:val="53CBE37F"/>
    <w:rsid w:val="5533DB22"/>
    <w:rsid w:val="59468E75"/>
    <w:rsid w:val="5BDEC000"/>
    <w:rsid w:val="5C43CA69"/>
    <w:rsid w:val="5CC7F683"/>
    <w:rsid w:val="5D152FD1"/>
    <w:rsid w:val="5F95D855"/>
    <w:rsid w:val="603F0873"/>
    <w:rsid w:val="6CBC05DB"/>
    <w:rsid w:val="7690F7D3"/>
    <w:rsid w:val="79ABE4AD"/>
    <w:rsid w:val="7A04ABDC"/>
    <w:rsid w:val="7C8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A04B"/>
  <w15:chartTrackingRefBased/>
  <w15:docId w15:val="{8CDCBB51-77EA-40DD-A198-233894C7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F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5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9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760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5E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559F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5E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559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D517B83AA356B40BC4EB6F62D60719E" ma:contentTypeVersion="5" ma:contentTypeDescription="Luo uusi asiakirja." ma:contentTypeScope="" ma:versionID="6e971840ab9cbac794b7ff310ce044f0">
  <xsd:schema xmlns:xsd="http://www.w3.org/2001/XMLSchema" xmlns:xs="http://www.w3.org/2001/XMLSchema" xmlns:p="http://schemas.microsoft.com/office/2006/metadata/properties" xmlns:ns2="e65c9eb9-f045-4cdb-9c44-9a8fc39b05de" targetNamespace="http://schemas.microsoft.com/office/2006/metadata/properties" ma:root="true" ma:fieldsID="ce350b99b08e03773b790cbd10fa4017" ns2:_="">
    <xsd:import namespace="e65c9eb9-f045-4cdb-9c44-9a8fc39b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c9eb9-f045-4cdb-9c44-9a8fc39b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C4B48-3F14-4DD6-BB7C-660CBF138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D901D-12D6-43F3-9242-291A1034359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65c9eb9-f045-4cdb-9c44-9a8fc39b05d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02D6E2-2A8D-4557-B0EB-AAF00EB32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c9eb9-f045-4cdb-9c44-9a8fc39b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5703</Characters>
  <Application>Microsoft Office Word</Application>
  <DocSecurity>4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Heimovaara</dc:creator>
  <cp:keywords/>
  <dc:description/>
  <cp:lastModifiedBy>Valleala, Ulla Maija</cp:lastModifiedBy>
  <cp:revision>2</cp:revision>
  <cp:lastPrinted>2019-09-10T10:39:00Z</cp:lastPrinted>
  <dcterms:created xsi:type="dcterms:W3CDTF">2019-09-17T04:55:00Z</dcterms:created>
  <dcterms:modified xsi:type="dcterms:W3CDTF">2019-09-17T04:55:00Z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0x0101001D517B83AA356B40BC4EB6F62D60719E</vt:lpwstr>
  </property>
</Properties>
</file>