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Terveystiedon YO-kokeeseen valmistautuminen: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Lukusuunnitelma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Silmäile &gt; hahmota kappaleiden kokonaisuudet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Syvenny ja lue ”aktiivisesti”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tarkista k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äsitteet, lue ääneen, tee muistiinpanoja, käsitekarttoja, tiivistelmiä…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Hyödynnä kurssien Pedanet-aineistoa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Älä lue aina yksin - juttele ja keskustele aiheista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Kertaa: oppikirjan taulukot, kaaviot ja tiivistelmät, omat muistiinpanot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Ajankohtaisten asioiden seuraaminen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huomio uutiset, lehdet, radio, tv, Internet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…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Digabi-ohjelmien harjoittelu!!!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Kun ei jaksa lukea kirjaa, muista…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Eri kurssien Pedanet-aineisto 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Gadugi" w:hAnsi="Gadugi" w:cs="Gadugi" w:eastAsia="Gadug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http://www.yle.fi/abitreenit</w:t>
        </w:r>
      </w:hyperlink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&gt; </w:t>
      </w:r>
      <w:r>
        <w:rPr>
          <w:rFonts w:ascii="Gadugi" w:hAnsi="Gadugi" w:cs="Gadugi" w:eastAsia="Gadugi"/>
          <w:i/>
          <w:color w:val="auto"/>
          <w:spacing w:val="0"/>
          <w:position w:val="0"/>
          <w:sz w:val="28"/>
          <w:shd w:fill="auto" w:val="clear"/>
        </w:rPr>
        <w:t xml:space="preserve">terveystieto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8"/>
          <w:shd w:fill="auto" w:val="clear"/>
        </w:rPr>
        <w:t xml:space="preserve">materiaalia eri aiheista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8"/>
          <w:shd w:fill="auto" w:val="clear"/>
        </w:rPr>
        <w:t xml:space="preserve">vanhat koekysymykset ja vastaukset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YLE Areenan tarjonta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katseltavaa ja kuunneltavaa (kts. erillinen linkki)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Internet ja YouTube: aiheenmukaisilla hakusanoilla voi löytyä opetuskäyttöön tarkoitettuja diaesityksiä tai videoita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kokeile my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ös englanninkielisiä hakusanoja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Kokeen kesto, ota huomioon: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Aamutoimet, aamiainen, kiireettömyys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Vaatetus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kerrospukeutuminen, villasukat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Hyvät eväät &gt; verensokeri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Keskittyminen, korvatulpat?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Kiireen / hankalan tunteen käsittely, rentoutuminen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Tupakoimattomuus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Mukaan: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Kynät, lyijyt, kumi ja viivoitin luonnostelua varten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Oma kone ladattuna + virtajohto &gt; huolehdi, ettei kone ala tekemään päivityksiä koepäivänä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u w:val="single"/>
          <w:shd w:fill="auto" w:val="clear"/>
        </w:rPr>
        <w:t xml:space="preserve">Langallinen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hiiri,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u w:val="single"/>
          <w:shd w:fill="auto" w:val="clear"/>
        </w:rPr>
        <w:t xml:space="preserve">kuulokkeet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ja mahdolliset langalliseen kokeeseen tarvittavat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u w:val="single"/>
          <w:shd w:fill="auto" w:val="clear"/>
        </w:rPr>
        <w:t xml:space="preserve">adapterit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- tarkista porttien riittävyys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Henkilöllisyystodistus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yle.fi/abitreen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