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Eettinen pohdinta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Etiikan lajeja: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i/>
          <w:color w:val="auto"/>
          <w:spacing w:val="0"/>
          <w:position w:val="0"/>
          <w:sz w:val="24"/>
          <w:shd w:fill="auto" w:val="clear"/>
        </w:rPr>
        <w:t xml:space="preserve">Moraali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- Mikä on oikein / väärin tai hyvä / paha?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i/>
          <w:color w:val="auto"/>
          <w:spacing w:val="0"/>
          <w:position w:val="0"/>
          <w:sz w:val="24"/>
          <w:shd w:fill="auto" w:val="clear"/>
        </w:rPr>
        <w:t xml:space="preserve">Velvollisuusetiikka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Mik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ä ja kenen vastuu / oikeus / velvollisuus? Mitä vaikuttimia ja syitä teolle on?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i/>
          <w:color w:val="auto"/>
          <w:spacing w:val="0"/>
          <w:position w:val="0"/>
          <w:sz w:val="24"/>
          <w:shd w:fill="auto" w:val="clear"/>
        </w:rPr>
        <w:t xml:space="preserve">Seurausetiikka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Mit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ä teosta seuraa ja kenelle? Tarkoituksen ja seurausten suhde?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i/>
          <w:color w:val="auto"/>
          <w:spacing w:val="0"/>
          <w:position w:val="0"/>
          <w:sz w:val="24"/>
          <w:shd w:fill="auto" w:val="clear"/>
        </w:rPr>
        <w:t xml:space="preserve">Hyve-etiikka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Toimijan hyveet / paheet ja luonne? Tavoitteena hyveellisyys.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Pohdinnan näkökulmia esim: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Mitkä arvot, periaatteet, säännöt, normit tai lait toimintaa ohjaavat?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Yleensä aina löydettävissä eettinen ristiriita: oikein &gt;&lt; väärin, etu &gt;&lt; haitta, myönteistä &gt;&lt; kielteistä, puolesta &gt;&lt; vastaan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Pohdi, ketä kaikkia teko/toiminta koskee ja koskettaa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tekij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ä, lähiyhteisö, ympäristö, yhteiskunta, globaali, media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Mikä merkitys teolla on eri kohderyhmille, eri ikäisille?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Miten käytännölliset tai taloudelliset seikat vaikuttavat?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Muista kriittinen ja perusteleva eettinen ote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tarkoitus ei useinkaan ole ratkaista eettist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ä ongelmaa, vaan tuoda esiin siihen liittyviä monipuolisia näkökulmia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Aiheina esimerkiksi: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Kannabiksen käyttö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Energianuuskan myynti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Terveystuotteiden mainonta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Lasten kauneuskilpailut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Esteettinen kirurgia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Vammaisten seksuaalioikeudet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Läheisväkivalta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Huumeruiskujen vaihtopisteet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Huumeiden ”viihdekäyttö”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Median rooli kollektiivisen kriisin aikana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Nuoren itsemurha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Uskottomuus humalassa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Koulu-, netti- tai työpaikkakiusaaminen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Tasa-arvoinen avioliittolaki, adoptio-oikeus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Eettinen ravinto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