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C7FBFA" w14:paraId="0E11A86D" wp14:textId="02880B40">
      <w:pPr>
        <w:rPr>
          <w:sz w:val="32"/>
          <w:szCs w:val="32"/>
        </w:rPr>
      </w:pPr>
      <w:r w:rsidRPr="10C7FBFA" w:rsidR="4757332E">
        <w:rPr>
          <w:sz w:val="40"/>
          <w:szCs w:val="40"/>
        </w:rPr>
        <w:t>Uskontodialogi</w:t>
      </w:r>
    </w:p>
    <w:p w:rsidR="4757332E" w:rsidP="10C7FBFA" w:rsidRDefault="4757332E" w14:paraId="32F35D7A" w14:textId="14BC5CCD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Uskontojen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välistä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kohtaamista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ja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vuoropuhelua</w:t>
      </w:r>
    </w:p>
    <w:p w:rsidR="10C7FBFA" w:rsidP="10C7FBFA" w:rsidRDefault="10C7FBFA" w14:paraId="608E75B4" w14:textId="1037F3D4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757332E" w:rsidP="10C7FBFA" w:rsidRDefault="4757332E" w14:paraId="192BA7C8" w14:textId="1AF38B1C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Tavoitteena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luoda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ymmärrystä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eri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uskontojen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erilaisten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käsitysten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välille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sekä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luoda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erilaisia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yhteistoiminnan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muotoja</w:t>
      </w:r>
    </w:p>
    <w:p w:rsidR="10C7FBFA" w:rsidP="10C7FBFA" w:rsidRDefault="10C7FBFA" w14:paraId="10E6842C" w14:textId="2DC6E7AA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757332E" w:rsidP="10C7FBFA" w:rsidRDefault="4757332E" w14:paraId="02328D04" w14:textId="6076FD00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Tärkeää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esim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Konfliktien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aikana</w:t>
      </w:r>
    </w:p>
    <w:p w:rsidR="10C7FBFA" w:rsidP="10C7FBFA" w:rsidRDefault="10C7FBFA" w14:paraId="5E9F0B56" w14:textId="4AAC970B">
      <w:pPr>
        <w:pStyle w:val="Normal"/>
        <w:rPr>
          <w:sz w:val="40"/>
          <w:szCs w:val="40"/>
        </w:rPr>
      </w:pPr>
    </w:p>
    <w:p w:rsidR="4757332E" w:rsidP="10C7FBFA" w:rsidRDefault="4757332E" w14:paraId="49023F12" w14:textId="49DAD75C">
      <w:pPr>
        <w:pStyle w:val="Normal"/>
        <w:rPr>
          <w:sz w:val="40"/>
          <w:szCs w:val="40"/>
        </w:rPr>
      </w:pPr>
      <w:r w:rsidRPr="10C7FBFA" w:rsidR="4757332E">
        <w:rPr>
          <w:sz w:val="40"/>
          <w:szCs w:val="40"/>
        </w:rPr>
        <w:t>Uskontodialogin tavoitteena on:</w:t>
      </w:r>
    </w:p>
    <w:p w:rsidR="4757332E" w:rsidP="10C7FBFA" w:rsidRDefault="4757332E" w14:paraId="12D0775E" w14:textId="52E2C2E1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i-FI"/>
        </w:rPr>
      </w:pPr>
      <w:r w:rsidRPr="10C7FBFA" w:rsidR="475733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taito kohdata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erilaisia katsomuksia ja niiden taustalla olevia kulttuureja sekä käydä dialogia omasta katsomuksestaan käsin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ja  muita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 </w:t>
      </w:r>
      <w:r w:rsidRPr="10C7FBFA" w:rsidR="475733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kunnioittaen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.</w:t>
      </w:r>
    </w:p>
    <w:p w:rsidR="4757332E" w:rsidP="10C7FBFA" w:rsidRDefault="4757332E" w14:paraId="6339ADB1" w14:textId="4E4EF31D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</w:pP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Tieto omasta ja</w:t>
      </w:r>
      <w:r w:rsidRPr="10C7FBFA" w:rsidR="568E49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 eri </w:t>
      </w:r>
      <w:r w:rsidRPr="10C7FBFA" w:rsidR="568E49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kulttuuriesta</w:t>
      </w:r>
      <w:r w:rsidRPr="10C7FBFA" w:rsidR="568E49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 </w:t>
      </w:r>
      <w:r w:rsidRPr="10C7FBFA" w:rsidR="568E49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lisää </w:t>
      </w:r>
      <w:r w:rsidRPr="10C7FBFA" w:rsidR="568E49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ymmärrystä</w:t>
      </w:r>
      <w:r w:rsidRPr="10C7FBFA" w:rsidR="568E49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,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 joka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 puolestaan </w:t>
      </w:r>
      <w:r w:rsidRPr="10C7FBFA" w:rsidR="475733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vähentää ennakkoluuloja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ja </w:t>
      </w:r>
      <w:r w:rsidRPr="10C7FBFA" w:rsidR="475733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edistää ihmisoikeuksien toteutumista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.</w:t>
      </w:r>
    </w:p>
    <w:p w:rsidR="10C7FBFA" w:rsidP="10C7FBFA" w:rsidRDefault="10C7FBFA" w14:paraId="17BEB333" w14:textId="45938822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</w:p>
    <w:p w:rsidR="4757332E" w:rsidP="10C7FBFA" w:rsidRDefault="4757332E" w14:paraId="660BB737" w14:textId="257C3BFE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Uskontodialogi tarvitsee paitsi tietoa ja tuntemusta,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myös:</w:t>
      </w:r>
      <w:r w:rsidRPr="10C7FBFA" w:rsidR="33A787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 xml:space="preserve">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Vaikeammi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n hahmotettavissa olevien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asenteiden,  arvojen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 ja kokemusten ymmärtämistä -&gt; pyhyys</w:t>
      </w:r>
    </w:p>
    <w:p w:rsidR="10C7FBFA" w:rsidP="10C7FBFA" w:rsidRDefault="10C7FBFA" w14:paraId="6AC39C82" w14:textId="6FBC7196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i-FI"/>
        </w:rPr>
      </w:pPr>
    </w:p>
    <w:p w:rsidR="4757332E" w:rsidP="10C7FBFA" w:rsidRDefault="4757332E" w14:paraId="4EEF7742" w14:textId="7CCA9FAA">
      <w:pPr>
        <w:pStyle w:val="ListParagraph"/>
        <w:numPr>
          <w:ilvl w:val="0"/>
          <w:numId w:val="3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</w:pP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Pyhät asiat ovat haavoittuvia ja herkkiä. Niistä voi tulla helposti erimielisyyksiä toisin ajattelevien kanssa. </w:t>
      </w:r>
      <w:r w:rsidRPr="10C7FBFA" w:rsidR="7D1E3A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Mutta  konfliktit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 usein johdu erimielisyyksistä pyhien</w:t>
      </w:r>
      <w:r w:rsidRPr="10C7FBFA" w:rsidR="7502A2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 asioiden </w:t>
      </w:r>
      <w:r w:rsidRPr="10C7FBFA" w:rsidR="7502A2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suhteen,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 vaan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 siitä, että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uskonnollisia  symboleja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 käytetään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luomaan</w:t>
      </w:r>
      <w:r w:rsidRPr="10C7FBFA" w:rsidR="518E6E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 vahvaa</w:t>
      </w:r>
      <w:r w:rsidRPr="10C7FBFA" w:rsidR="63E05E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sosiaalista identiteettiä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>, me/muut-asetelmia</w:t>
      </w:r>
      <w:r w:rsidRPr="10C7FBFA" w:rsidR="07CCF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 ja ulkoryhmän demonisointia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vertAlign w:val="superscript"/>
          <w:lang w:val="fi-FI"/>
        </w:rPr>
        <w:t xml:space="preserve"> </w:t>
      </w:r>
    </w:p>
    <w:p w:rsidR="10C7FBFA" w:rsidP="10C7FBFA" w:rsidRDefault="10C7FBFA" w14:paraId="13C32C94" w14:textId="23BB4801">
      <w:pPr>
        <w:pStyle w:val="Normal"/>
        <w:rPr>
          <w:sz w:val="40"/>
          <w:szCs w:val="40"/>
        </w:rPr>
      </w:pPr>
    </w:p>
    <w:p w:rsidR="4757332E" w:rsidP="10C7FBFA" w:rsidRDefault="4757332E" w14:paraId="149AA709" w14:textId="499E07C7">
      <w:pPr>
        <w:pStyle w:val="Normal"/>
        <w:rPr>
          <w:sz w:val="40"/>
          <w:szCs w:val="40"/>
        </w:rPr>
      </w:pPr>
      <w:r w:rsidRPr="10C7FBFA" w:rsidR="4757332E">
        <w:rPr>
          <w:sz w:val="40"/>
          <w:szCs w:val="40"/>
        </w:rPr>
        <w:t>Dialogin muotoja</w:t>
      </w:r>
    </w:p>
    <w:p w:rsidR="4757332E" w:rsidP="10C7FBFA" w:rsidRDefault="4757332E" w14:paraId="7B47D8FB" w14:textId="1F3A90D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10C7FBFA" w:rsidR="475733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Arjen vuoropuhelu</w:t>
      </w:r>
    </w:p>
    <w:p w:rsidR="4757332E" w:rsidP="10C7FBFA" w:rsidRDefault="4757332E" w14:paraId="1DA2008B" w14:textId="157A447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10C7FBFA" w:rsidR="475733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Toiminnan vuoropuhelu.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Jaetaan yhteisiä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huolia,  kiinnostuksia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ja taloudellisia, ekologisia ja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sosiaalisia  tavoitteita</w:t>
      </w:r>
    </w:p>
    <w:p w:rsidR="4757332E" w:rsidP="10C7FBFA" w:rsidRDefault="4757332E" w14:paraId="56A1A0CF" w14:textId="6DB99BB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10C7FBFA" w:rsidR="475733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Spiritualiteetin</w:t>
      </w:r>
      <w:r w:rsidRPr="10C7FBFA" w:rsidR="475733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dialogi tai </w:t>
      </w:r>
      <w:r w:rsidRPr="10C7FBFA" w:rsidR="475733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kokemuksen  vuoropuhelu</w:t>
      </w:r>
      <w:r w:rsidRPr="10C7FBFA" w:rsidR="475733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.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Yhteyttä eri uskontojen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edustajien    kesken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.</w:t>
      </w:r>
    </w:p>
    <w:p w:rsidR="4757332E" w:rsidP="10C7FBFA" w:rsidRDefault="4757332E" w14:paraId="1C526755" w14:textId="674AE66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10C7FBFA" w:rsidR="475733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Asiantuntijoiden vuoropuhelu.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Tieteellisesti,  katsomuksellisesti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tai uskonnollisesti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oppineiden  välistä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vuoropuhelua.</w:t>
      </w:r>
    </w:p>
    <w:p w:rsidR="10C7FBFA" w:rsidP="10C7FBFA" w:rsidRDefault="10C7FBFA" w14:paraId="7E55477E" w14:textId="47185BE6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</w:p>
    <w:p w:rsidR="4757332E" w:rsidP="10C7FBFA" w:rsidRDefault="4757332E" w14:paraId="432E9C5C" w14:textId="5BC0EF8C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-FI"/>
        </w:rPr>
      </w:pP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Dialogissa asetun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toisen  asemaan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: jaan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ja  vastaanotan</w:t>
      </w:r>
    </w:p>
    <w:p w:rsidR="10C7FBFA" w:rsidP="10C7FBFA" w:rsidRDefault="10C7FBFA" w14:paraId="56C703DE" w14:textId="14A8EF7D">
      <w:pPr>
        <w:pStyle w:val="Normal"/>
        <w:rPr>
          <w:sz w:val="40"/>
          <w:szCs w:val="40"/>
        </w:rPr>
      </w:pPr>
    </w:p>
    <w:p w:rsidR="4757332E" w:rsidP="10C7FBFA" w:rsidRDefault="4757332E" w14:paraId="54E10C46" w14:textId="46343BC2">
      <w:pPr>
        <w:pStyle w:val="Normal"/>
        <w:rPr>
          <w:sz w:val="40"/>
          <w:szCs w:val="40"/>
        </w:rPr>
      </w:pPr>
      <w:r w:rsidRPr="10C7FBFA" w:rsidR="4757332E">
        <w:rPr>
          <w:sz w:val="40"/>
          <w:szCs w:val="40"/>
        </w:rPr>
        <w:t>Miksi uskontodialogia tarvitaan</w:t>
      </w:r>
    </w:p>
    <w:p w:rsidR="4757332E" w:rsidP="10C7FBFA" w:rsidRDefault="4757332E" w14:paraId="27E48409" w14:textId="2F8C3527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Ymmärrys lisääntyy </w:t>
      </w:r>
      <w:r w:rsidRPr="10C7FBFA" w:rsidR="475733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kysymällä ja ottamalla selvää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.  Jos liika hienotunteisuus estää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kysymisen,  ennakkoluulot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eivät murru. </w:t>
      </w:r>
    </w:p>
    <w:p w:rsidR="10C7FBFA" w:rsidP="10C7FBFA" w:rsidRDefault="10C7FBFA" w14:paraId="596AB161" w14:textId="33E53576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</w:p>
    <w:p w:rsidR="4757332E" w:rsidP="10C7FBFA" w:rsidRDefault="4757332E" w14:paraId="4E9E3E11" w14:textId="52B50405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10C7FBFA" w:rsidR="475733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Liika  yhtäläisyyksien</w:t>
      </w:r>
      <w:r w:rsidRPr="10C7FBFA" w:rsidR="475733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korostaminen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vie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mahdollisuuksia  ymmärryksen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lisäämiseltä ja </w:t>
      </w:r>
      <w:r w:rsidRPr="10C7FBFA" w:rsidR="475733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jättää ilman </w:t>
      </w:r>
      <w:r w:rsidRPr="10C7FBFA" w:rsidR="475733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välineitä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,  kun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joskus kuitenkin kohtaa jotain hyvin erilaista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tai  itselle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vierasta.</w:t>
      </w:r>
    </w:p>
    <w:p w:rsidR="4757332E" w:rsidP="10C7FBFA" w:rsidRDefault="4757332E" w14:paraId="101C3540" w14:textId="5E0DE207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Konflikteja voidaan ehkäistä vain, jos osataan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esittää  kysymyksiä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myös silloin, kun jokin asia 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tuntuu  vieraalta</w:t>
      </w:r>
      <w:r w:rsidRPr="10C7FBFA" w:rsidR="47573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tai kuohuttavalta!</w:t>
      </w:r>
    </w:p>
    <w:p w:rsidR="10C7FBFA" w:rsidP="10C7FBFA" w:rsidRDefault="10C7FBFA" w14:paraId="07EBDF21" w14:textId="0B7E1110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</w:p>
    <w:p w:rsidR="10C7FBFA" w:rsidP="10C7FBFA" w:rsidRDefault="10C7FBFA" w14:paraId="5F97D390" w14:textId="47536F85">
      <w:pPr>
        <w:pStyle w:val="Normal"/>
        <w:rPr>
          <w:sz w:val="40"/>
          <w:szCs w:val="4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33025e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d7bd0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3a3e0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378ce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03EB26"/>
    <w:rsid w:val="07CCF7CF"/>
    <w:rsid w:val="0D905B38"/>
    <w:rsid w:val="0E1CEB0E"/>
    <w:rsid w:val="0FDC268D"/>
    <w:rsid w:val="10C7FBFA"/>
    <w:rsid w:val="1403EB26"/>
    <w:rsid w:val="14BD3537"/>
    <w:rsid w:val="164B6811"/>
    <w:rsid w:val="33A787CD"/>
    <w:rsid w:val="4757332E"/>
    <w:rsid w:val="518E6E72"/>
    <w:rsid w:val="568E490D"/>
    <w:rsid w:val="59FCEA4C"/>
    <w:rsid w:val="63E05E0D"/>
    <w:rsid w:val="715CEA30"/>
    <w:rsid w:val="7502A29B"/>
    <w:rsid w:val="7D1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EB26"/>
  <w15:chartTrackingRefBased/>
  <w15:docId w15:val="{319571A9-1D77-434C-9763-371F7A633B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5b2ee58eda54a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2023-05-09T08:09:15.8818686Z</dcterms:created>
  <dcterms:modified xsi:type="dcterms:W3CDTF">2023-05-09T08:13:57.7571604Z</dcterms:modified>
  <dc:creator>Orjala Elina</dc:creator>
  <lastModifiedBy>Orjala Elina</lastModifiedBy>
</coreProperties>
</file>