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8C" w:rsidRDefault="008F738C" w:rsidP="008F738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LUKU 2 Joensuun seudun opetussuunnitelma </w:t>
      </w:r>
    </w:p>
    <w:p w:rsidR="008F738C" w:rsidRDefault="008F738C" w:rsidP="008F738C">
      <w:pPr>
        <w:pStyle w:val="Default"/>
        <w:rPr>
          <w:b/>
          <w:bCs/>
          <w:sz w:val="28"/>
          <w:szCs w:val="28"/>
        </w:rPr>
      </w:pPr>
    </w:p>
    <w:p w:rsidR="008F738C" w:rsidRDefault="008F738C" w:rsidP="008F738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Perusopetus yleissivistyksen perustana Joensuun seudun opetussuunnitelmassa</w:t>
      </w:r>
    </w:p>
    <w:p w:rsidR="008F738C" w:rsidRDefault="008F738C" w:rsidP="008F738C">
      <w:pPr>
        <w:pStyle w:val="Default"/>
        <w:rPr>
          <w:sz w:val="28"/>
          <w:szCs w:val="28"/>
        </w:rPr>
      </w:pPr>
    </w:p>
    <w:p w:rsidR="008F738C" w:rsidRPr="0099239C" w:rsidRDefault="008F738C" w:rsidP="008F738C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  <w:r w:rsidRPr="0099239C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Joensuun seudun opetussuunnitelma rakentuu opetussuunnitelmassa määritetyille arvoille ja sitä täydentävät seudulliset kasvatuksen ja koulutuksen yhteiset arvot. </w:t>
      </w:r>
      <w:r w:rsidRPr="0099239C">
        <w:rPr>
          <w:sz w:val="24"/>
          <w:szCs w:val="24"/>
        </w:rPr>
        <w:t>Pohjoiskarjalainen luonto ja paikallinen kulttuuritausta nähdään voimavarana monimuotoiseen yhteiskuntaan ja kansainvälis</w:t>
      </w:r>
      <w:r>
        <w:rPr>
          <w:sz w:val="24"/>
          <w:szCs w:val="24"/>
        </w:rPr>
        <w:t>tymiseen kasvamisessa. Lapsille ja nuorille annetaan mahdollisuus kasvaa luoviksi, yritteliäiksi, osallistuviksi</w:t>
      </w:r>
      <w:r w:rsidRPr="0099239C">
        <w:rPr>
          <w:sz w:val="24"/>
          <w:szCs w:val="24"/>
        </w:rPr>
        <w:t>, omasta ja m</w:t>
      </w:r>
      <w:r>
        <w:rPr>
          <w:sz w:val="24"/>
          <w:szCs w:val="24"/>
        </w:rPr>
        <w:t>uiden hyvinvoinnista huolehtiviksi ja ympäristöstä välittäviksi</w:t>
      </w:r>
      <w:r w:rsidRPr="0099239C">
        <w:rPr>
          <w:sz w:val="24"/>
          <w:szCs w:val="24"/>
        </w:rPr>
        <w:t xml:space="preserve"> </w:t>
      </w:r>
      <w:r>
        <w:rPr>
          <w:sz w:val="24"/>
          <w:szCs w:val="24"/>
        </w:rPr>
        <w:t>aikuisiksi</w:t>
      </w:r>
      <w:r w:rsidRPr="0099239C">
        <w:rPr>
          <w:sz w:val="24"/>
          <w:szCs w:val="24"/>
        </w:rPr>
        <w:t xml:space="preserve">. </w:t>
      </w:r>
    </w:p>
    <w:p w:rsidR="008F738C" w:rsidRPr="000908D9" w:rsidRDefault="008F738C" w:rsidP="008F738C">
      <w:pPr>
        <w:spacing w:before="96" w:after="0" w:line="240" w:lineRule="auto"/>
        <w:rPr>
          <w:rFonts w:eastAsiaTheme="minorEastAsia"/>
          <w:kern w:val="24"/>
          <w:sz w:val="24"/>
          <w:szCs w:val="24"/>
          <w:lang w:eastAsia="fi-FI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Joensuun seudun </w:t>
      </w:r>
      <w:r w:rsidRPr="0021422A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opetussuunnitelman arvokeskustelu on toteutettu lukuvuoden 2014</w:t>
      </w:r>
      <w:r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Pr="0021422A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-</w:t>
      </w:r>
      <w:r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Pr="0021422A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15 aikana</w:t>
      </w:r>
      <w:r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, jolloin yhteisiä arvoja</w:t>
      </w:r>
      <w:r w:rsidRPr="0099239C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pohdittiin </w:t>
      </w:r>
      <w:r w:rsidRPr="0013264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useissa eri tilaisuuksissa ja työryhmissä (</w:t>
      </w:r>
      <w:proofErr w:type="spellStart"/>
      <w:r w:rsidRPr="0013264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ops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– </w:t>
      </w:r>
      <w:r w:rsidRPr="0013264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prosessinohjaaj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ien ja aineryhmien koulutukset</w:t>
      </w:r>
      <w:r w:rsidRPr="0013264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, opettajien </w:t>
      </w:r>
      <w:proofErr w:type="spellStart"/>
      <w:r w:rsidRPr="0013264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vesopäivä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t</w:t>
      </w:r>
      <w:proofErr w:type="spellEnd"/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, </w:t>
      </w:r>
      <w:r w:rsidRPr="0013264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kokoukset, vanhempainillat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, seudun pedagogisen ja tuki ryhmän työskentelypäivät</w:t>
      </w:r>
      <w:r w:rsidRPr="0013264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>).</w:t>
      </w:r>
      <w:r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Näiden </w:t>
      </w:r>
      <w:r>
        <w:rPr>
          <w:rFonts w:eastAsiaTheme="minorEastAsia"/>
          <w:kern w:val="24"/>
          <w:sz w:val="24"/>
          <w:szCs w:val="24"/>
        </w:rPr>
        <w:t>perusteella on laadittu</w:t>
      </w:r>
      <w:r w:rsidRPr="007E5041">
        <w:rPr>
          <w:rFonts w:eastAsiaTheme="minorEastAsia"/>
          <w:kern w:val="24"/>
          <w:sz w:val="24"/>
          <w:szCs w:val="24"/>
        </w:rPr>
        <w:t xml:space="preserve"> seudullisen </w:t>
      </w:r>
      <w:proofErr w:type="spellStart"/>
      <w:r w:rsidRPr="007E5041">
        <w:rPr>
          <w:rFonts w:eastAsiaTheme="minorEastAsia"/>
          <w:kern w:val="24"/>
          <w:sz w:val="24"/>
          <w:szCs w:val="24"/>
        </w:rPr>
        <w:t>esi</w:t>
      </w:r>
      <w:proofErr w:type="spellEnd"/>
      <w:r w:rsidRPr="007E5041">
        <w:rPr>
          <w:rFonts w:eastAsiaTheme="minorEastAsia"/>
          <w:kern w:val="24"/>
          <w:sz w:val="24"/>
          <w:szCs w:val="24"/>
        </w:rPr>
        <w:t xml:space="preserve">- ja perusopetuksen opetussuunnitelman </w:t>
      </w:r>
      <w:r w:rsidRPr="0021422A">
        <w:rPr>
          <w:rFonts w:eastAsiaTheme="minorEastAsia"/>
          <w:color w:val="000000" w:themeColor="text1"/>
          <w:kern w:val="24"/>
          <w:sz w:val="24"/>
          <w:szCs w:val="24"/>
        </w:rPr>
        <w:t>arvoperusta</w:t>
      </w:r>
      <w:r>
        <w:rPr>
          <w:rFonts w:eastAsiaTheme="minorEastAsia"/>
          <w:color w:val="FF0000"/>
          <w:kern w:val="24"/>
          <w:sz w:val="24"/>
          <w:szCs w:val="24"/>
        </w:rPr>
        <w:t xml:space="preserve"> </w:t>
      </w:r>
      <w:r w:rsidRPr="00C77E03">
        <w:rPr>
          <w:rFonts w:eastAsiaTheme="minorEastAsia"/>
          <w:kern w:val="24"/>
          <w:sz w:val="24"/>
          <w:szCs w:val="24"/>
        </w:rPr>
        <w:t>sekä kasvatuksen ja koulutuksen visio, missio ja strategia.</w:t>
      </w:r>
      <w:r>
        <w:rPr>
          <w:rFonts w:eastAsiaTheme="minorEastAsia"/>
          <w:kern w:val="24"/>
          <w:sz w:val="24"/>
          <w:szCs w:val="24"/>
        </w:rPr>
        <w:t xml:space="preserve"> </w:t>
      </w:r>
      <w:r w:rsidRPr="0021422A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 </w:t>
      </w:r>
      <w:r w:rsidRPr="00AB374D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 </w:t>
      </w:r>
    </w:p>
    <w:p w:rsidR="008F738C" w:rsidRPr="00C77E03" w:rsidRDefault="008F738C" w:rsidP="008F738C">
      <w:pPr>
        <w:spacing w:before="96" w:after="0" w:line="240" w:lineRule="auto"/>
        <w:rPr>
          <w:rFonts w:eastAsiaTheme="minorEastAsia"/>
          <w:kern w:val="24"/>
          <w:sz w:val="24"/>
          <w:szCs w:val="24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Oppilaat ja h</w:t>
      </w:r>
      <w:r w:rsidRPr="0021422A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uoltajat osallistuivat </w:t>
      </w:r>
      <w:r w:rsidRPr="00AB374D"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opetussuunnitelman arvokeskusteluun </w:t>
      </w:r>
      <w:r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 xml:space="preserve">Kohti unelmien koulua </w:t>
      </w:r>
      <w:proofErr w:type="gramStart"/>
      <w:r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–teemalla</w:t>
      </w:r>
      <w:proofErr w:type="gramEnd"/>
      <w:r>
        <w:rPr>
          <w:rFonts w:eastAsiaTheme="minorEastAsia"/>
          <w:color w:val="000000" w:themeColor="text1"/>
          <w:kern w:val="24"/>
          <w:sz w:val="24"/>
          <w:szCs w:val="24"/>
          <w:lang w:eastAsia="fi-FI"/>
        </w:rPr>
        <w:t>, jonka prosessi on kuvattu tarkemmin liitteessä. (LIITE XX)</w:t>
      </w:r>
      <w:r w:rsidRPr="00132645"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  <w:t xml:space="preserve"> </w:t>
      </w:r>
    </w:p>
    <w:p w:rsidR="008F738C" w:rsidRDefault="008F738C" w:rsidP="008F738C">
      <w:pPr>
        <w:spacing w:before="96" w:after="0" w:line="240" w:lineRule="auto"/>
        <w:rPr>
          <w:rFonts w:eastAsiaTheme="minorEastAsia"/>
          <w:color w:val="FF0000"/>
          <w:kern w:val="24"/>
          <w:sz w:val="24"/>
          <w:szCs w:val="24"/>
        </w:rPr>
      </w:pPr>
    </w:p>
    <w:p w:rsidR="008F738C" w:rsidRPr="00C77E03" w:rsidRDefault="008F738C" w:rsidP="008F738C">
      <w:pPr>
        <w:spacing w:before="96" w:after="0" w:line="240" w:lineRule="auto"/>
        <w:rPr>
          <w:rFonts w:eastAsiaTheme="minorEastAsia"/>
          <w:b/>
          <w:kern w:val="24"/>
          <w:sz w:val="24"/>
          <w:szCs w:val="24"/>
        </w:rPr>
      </w:pPr>
      <w:r w:rsidRPr="00C77E03">
        <w:rPr>
          <w:rFonts w:eastAsiaTheme="minorEastAsia"/>
          <w:b/>
          <w:kern w:val="24"/>
          <w:sz w:val="24"/>
          <w:szCs w:val="24"/>
        </w:rPr>
        <w:t>Joensuun seudun kasvatuksen ja koulutuksen visio, missio ja strategia</w:t>
      </w:r>
    </w:p>
    <w:p w:rsidR="008F738C" w:rsidRDefault="008F738C" w:rsidP="008F738C">
      <w:pPr>
        <w:spacing w:before="96" w:after="0" w:line="240" w:lineRule="auto"/>
        <w:rPr>
          <w:rFonts w:eastAsiaTheme="minorEastAsia"/>
          <w:color w:val="FF0000"/>
          <w:kern w:val="24"/>
          <w:sz w:val="24"/>
          <w:szCs w:val="24"/>
        </w:rPr>
      </w:pPr>
    </w:p>
    <w:p w:rsidR="008F738C" w:rsidRDefault="008F738C" w:rsidP="008F738C">
      <w:pPr>
        <w:spacing w:before="96" w:after="0" w:line="240" w:lineRule="auto"/>
        <w:rPr>
          <w:rFonts w:eastAsiaTheme="minorEastAsia"/>
          <w:color w:val="FF0000"/>
          <w:kern w:val="24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7C6D0125" wp14:editId="7CD1D981">
            <wp:extent cx="4914900" cy="4209213"/>
            <wp:effectExtent l="0" t="0" r="0" b="127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2131" cy="421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38C" w:rsidRPr="00C77E03" w:rsidRDefault="008F738C" w:rsidP="008F738C">
      <w:pPr>
        <w:spacing w:before="96"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i-FI"/>
        </w:rPr>
      </w:pPr>
    </w:p>
    <w:p w:rsidR="008F738C" w:rsidRDefault="008F738C" w:rsidP="008F738C">
      <w:pPr>
        <w:rPr>
          <w:rFonts w:eastAsiaTheme="minorEastAsia"/>
          <w:b/>
          <w:kern w:val="24"/>
          <w:sz w:val="24"/>
          <w:szCs w:val="24"/>
        </w:rPr>
      </w:pPr>
    </w:p>
    <w:p w:rsidR="008F738C" w:rsidRDefault="008F738C" w:rsidP="008F738C">
      <w:pPr>
        <w:rPr>
          <w:rFonts w:eastAsiaTheme="minorEastAsia"/>
          <w:b/>
          <w:kern w:val="24"/>
          <w:sz w:val="24"/>
          <w:szCs w:val="24"/>
        </w:rPr>
      </w:pPr>
      <w:r w:rsidRPr="006443F1">
        <w:rPr>
          <w:rFonts w:eastAsiaTheme="minorEastAsia"/>
          <w:b/>
          <w:kern w:val="24"/>
          <w:sz w:val="24"/>
          <w:szCs w:val="24"/>
        </w:rPr>
        <w:t>Joensuun seudun kasvatuksen ja koulutuksen arvoperusta</w:t>
      </w:r>
    </w:p>
    <w:p w:rsidR="008F738C" w:rsidRPr="006443F1" w:rsidRDefault="008F738C" w:rsidP="008F738C">
      <w:pPr>
        <w:rPr>
          <w:rFonts w:eastAsiaTheme="minorEastAsia"/>
          <w:kern w:val="24"/>
          <w:sz w:val="24"/>
          <w:szCs w:val="24"/>
        </w:rPr>
      </w:pPr>
      <w:r>
        <w:rPr>
          <w:rFonts w:eastAsiaTheme="minorEastAsia"/>
          <w:kern w:val="24"/>
          <w:sz w:val="24"/>
          <w:szCs w:val="24"/>
        </w:rPr>
        <w:t xml:space="preserve">Joensuun seudun kasvatuksen ja koulutuksen arvot ovat </w:t>
      </w:r>
      <w:r>
        <w:rPr>
          <w:rFonts w:eastAsiaTheme="minorEastAsia"/>
          <w:b/>
          <w:kern w:val="24"/>
          <w:sz w:val="24"/>
          <w:szCs w:val="24"/>
        </w:rPr>
        <w:t xml:space="preserve">oppiminen, hyvinvointi ja vastuullisuus. </w:t>
      </w:r>
      <w:r>
        <w:rPr>
          <w:rFonts w:eastAsiaTheme="minorEastAsia"/>
          <w:kern w:val="24"/>
          <w:sz w:val="24"/>
          <w:szCs w:val="24"/>
        </w:rPr>
        <w:t>Arvot toteutuvat koulun arjessa oppimisen ilona, hyvinvointina ja vastuullisena toimintana.</w:t>
      </w:r>
    </w:p>
    <w:p w:rsidR="008F738C" w:rsidRDefault="008F738C" w:rsidP="008F738C">
      <w:pPr>
        <w:spacing w:before="72" w:after="0" w:line="240" w:lineRule="auto"/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fi-FI"/>
        </w:rPr>
      </w:pPr>
      <w:r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fi-FI"/>
        </w:rPr>
        <w:t>Joensuun seudun arvot ja mitä ne käytännössä tarkoittavat</w:t>
      </w:r>
    </w:p>
    <w:p w:rsidR="008F738C" w:rsidRDefault="008F738C" w:rsidP="008F738C">
      <w:pPr>
        <w:spacing w:before="72" w:after="0" w:line="240" w:lineRule="auto"/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fi-FI"/>
        </w:rPr>
      </w:pPr>
    </w:p>
    <w:p w:rsidR="008F738C" w:rsidRDefault="008F738C" w:rsidP="008F738C">
      <w:pPr>
        <w:spacing w:before="72" w:after="0" w:line="240" w:lineRule="auto"/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fi-FI"/>
        </w:rPr>
      </w:pPr>
    </w:p>
    <w:p w:rsidR="008F738C" w:rsidRDefault="008F738C" w:rsidP="008F738C">
      <w:pPr>
        <w:spacing w:before="72" w:after="0" w:line="240" w:lineRule="auto"/>
        <w:rPr>
          <w:rFonts w:eastAsiaTheme="minorEastAsia"/>
          <w:b/>
          <w:bCs/>
          <w:color w:val="000000" w:themeColor="text1"/>
          <w:kern w:val="24"/>
          <w:sz w:val="24"/>
          <w:szCs w:val="24"/>
          <w:lang w:eastAsia="fi-FI"/>
        </w:rPr>
      </w:pPr>
      <w:r>
        <w:rPr>
          <w:noProof/>
          <w:lang w:eastAsia="fi-FI"/>
        </w:rPr>
        <w:drawing>
          <wp:inline distT="0" distB="0" distL="0" distR="0" wp14:anchorId="19922DD1" wp14:editId="17F45976">
            <wp:extent cx="6195541" cy="3438525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2452" cy="347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38C" w:rsidRDefault="008F738C" w:rsidP="008F738C">
      <w:pPr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  <w:r>
        <w:rPr>
          <w:noProof/>
          <w:lang w:eastAsia="fi-FI"/>
        </w:rPr>
        <w:lastRenderedPageBreak/>
        <w:drawing>
          <wp:inline distT="0" distB="0" distL="0" distR="0" wp14:anchorId="1418AFA1" wp14:editId="121669F7">
            <wp:extent cx="6294629" cy="3438525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8839" cy="3593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38C" w:rsidRPr="00ED39B3" w:rsidRDefault="008F738C" w:rsidP="008F738C">
      <w:pPr>
        <w:rPr>
          <w:rFonts w:eastAsiaTheme="minorEastAsia" w:hAnsi="Calibri"/>
          <w:b/>
          <w:color w:val="000000" w:themeColor="text1"/>
          <w:kern w:val="24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00EBDE3C" wp14:editId="73B94B6E">
            <wp:extent cx="6153150" cy="3273941"/>
            <wp:effectExtent l="0" t="0" r="0" b="317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4055" cy="330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38C" w:rsidRDefault="008F738C" w:rsidP="008F738C">
      <w:pPr>
        <w:rPr>
          <w:sz w:val="23"/>
          <w:szCs w:val="23"/>
        </w:rPr>
      </w:pPr>
      <w:r>
        <w:rPr>
          <w:sz w:val="23"/>
          <w:szCs w:val="23"/>
        </w:rPr>
        <w:t xml:space="preserve">Oppimiskäsitys, arvoperusta ja paikallinen näkemys on huomioitu oppiaineiden tavoitteiden ja sisältöjen </w:t>
      </w:r>
      <w:proofErr w:type="spellStart"/>
      <w:r>
        <w:rPr>
          <w:sz w:val="23"/>
          <w:szCs w:val="23"/>
        </w:rPr>
        <w:t>vuosiluokkaistamisen</w:t>
      </w:r>
      <w:proofErr w:type="spellEnd"/>
      <w:r>
        <w:rPr>
          <w:sz w:val="23"/>
          <w:szCs w:val="23"/>
        </w:rPr>
        <w:t xml:space="preserve"> yhteydessä. Koulun oma arvotyöskentely ja toimintakulttuuri on kuvattu koulun vuosisuunnitelmassa. Koulun arvot ja oppimiskäsitys näkyvät päivittäin koulun toimintakulttuurissa ja arjessa.</w:t>
      </w:r>
      <w:r w:rsidR="00560145">
        <w:rPr>
          <w:sz w:val="23"/>
          <w:szCs w:val="23"/>
        </w:rPr>
        <w:t xml:space="preserve"> Arvoperustan ja oppimiskäsityksen toteutumista seurataan ja arvioidaan lukuvuoden aikana vuosisuunnitelman arvioinnin yhteydessä.</w:t>
      </w:r>
    </w:p>
    <w:p w:rsidR="008F738C" w:rsidRPr="00176553" w:rsidRDefault="008F738C" w:rsidP="008F73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>Koulukohtaiseen vuosi</w:t>
      </w:r>
      <w:r w:rsidRPr="00176553">
        <w:rPr>
          <w:rFonts w:ascii="Calibri" w:hAnsi="Calibri" w:cs="Calibri"/>
          <w:color w:val="00B050"/>
          <w:sz w:val="23"/>
          <w:szCs w:val="23"/>
        </w:rPr>
        <w:t>suunnitelmaan</w:t>
      </w:r>
      <w:r>
        <w:rPr>
          <w:rFonts w:ascii="Calibri" w:hAnsi="Calibri" w:cs="Calibri"/>
          <w:color w:val="00B050"/>
          <w:sz w:val="23"/>
          <w:szCs w:val="23"/>
        </w:rPr>
        <w:t xml:space="preserve"> (opetussuunnitelmaosioon)</w:t>
      </w:r>
      <w:r w:rsidRPr="00176553">
        <w:rPr>
          <w:rFonts w:ascii="Calibri" w:hAnsi="Calibri" w:cs="Calibri"/>
          <w:color w:val="00B050"/>
          <w:sz w:val="23"/>
          <w:szCs w:val="23"/>
        </w:rPr>
        <w:t xml:space="preserve"> kirjataan: </w:t>
      </w:r>
    </w:p>
    <w:p w:rsidR="008F738C" w:rsidRPr="00176553" w:rsidRDefault="008F738C" w:rsidP="008F738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77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 xml:space="preserve"> </w:t>
      </w:r>
      <w:r w:rsidRPr="00176553">
        <w:rPr>
          <w:rFonts w:ascii="Calibri" w:hAnsi="Calibri" w:cs="Calibri"/>
          <w:color w:val="00B050"/>
          <w:sz w:val="23"/>
          <w:szCs w:val="23"/>
        </w:rPr>
        <w:t xml:space="preserve">Mitkä ovat </w:t>
      </w:r>
      <w:r>
        <w:rPr>
          <w:rFonts w:ascii="Calibri" w:hAnsi="Calibri" w:cs="Calibri"/>
          <w:color w:val="00B050"/>
          <w:sz w:val="23"/>
          <w:szCs w:val="23"/>
        </w:rPr>
        <w:t xml:space="preserve">koulun </w:t>
      </w:r>
      <w:r w:rsidRPr="00176553">
        <w:rPr>
          <w:rFonts w:ascii="Calibri" w:hAnsi="Calibri" w:cs="Calibri"/>
          <w:color w:val="00B050"/>
          <w:sz w:val="23"/>
          <w:szCs w:val="23"/>
        </w:rPr>
        <w:t xml:space="preserve">arvot seudulliset arvot huomioiden? </w:t>
      </w:r>
    </w:p>
    <w:p w:rsidR="008F738C" w:rsidRPr="00176553" w:rsidRDefault="00560145" w:rsidP="008F738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77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lastRenderedPageBreak/>
        <w:t xml:space="preserve"> Koulun toimintakulttuurin kuvaamisen yhteydessä kerrotaan miten </w:t>
      </w:r>
      <w:r w:rsidR="008F738C" w:rsidRPr="00176553">
        <w:rPr>
          <w:rFonts w:ascii="Calibri" w:hAnsi="Calibri" w:cs="Calibri"/>
          <w:color w:val="00B050"/>
          <w:sz w:val="23"/>
          <w:szCs w:val="23"/>
        </w:rPr>
        <w:t>luodaan edellytykset henkilöstön, lasten ja huoltajien sekä mahdollisten muiden yhteistyökumppanien osallistumiselle arvokeskusteluun</w:t>
      </w:r>
      <w:r>
        <w:rPr>
          <w:rFonts w:ascii="Calibri" w:hAnsi="Calibri" w:cs="Calibri"/>
          <w:color w:val="00B050"/>
          <w:sz w:val="23"/>
          <w:szCs w:val="23"/>
        </w:rPr>
        <w:t>.</w:t>
      </w:r>
    </w:p>
    <w:p w:rsidR="007D55B9" w:rsidRPr="00560145" w:rsidRDefault="00560145" w:rsidP="00560145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50"/>
          <w:sz w:val="23"/>
          <w:szCs w:val="23"/>
        </w:rPr>
      </w:pPr>
      <w:r>
        <w:rPr>
          <w:rFonts w:ascii="Calibri" w:hAnsi="Calibri" w:cs="Calibri"/>
          <w:color w:val="00B050"/>
          <w:sz w:val="23"/>
          <w:szCs w:val="23"/>
        </w:rPr>
        <w:t xml:space="preserve"> K</w:t>
      </w:r>
      <w:r w:rsidR="008F738C" w:rsidRPr="00560145">
        <w:rPr>
          <w:rFonts w:ascii="Calibri" w:hAnsi="Calibri" w:cs="Calibri"/>
          <w:color w:val="00B050"/>
          <w:sz w:val="23"/>
          <w:szCs w:val="23"/>
        </w:rPr>
        <w:t>oulun tasolla seurataan ja arvioidaan arvoperustan ja</w:t>
      </w:r>
      <w:r>
        <w:rPr>
          <w:rFonts w:ascii="Calibri" w:hAnsi="Calibri" w:cs="Calibri"/>
          <w:color w:val="00B050"/>
          <w:sz w:val="23"/>
          <w:szCs w:val="23"/>
        </w:rPr>
        <w:t xml:space="preserve"> oppimiskäsityksen toteutumista vuosisuunnitelman arvioinnin yhteydessä.</w:t>
      </w:r>
      <w:bookmarkStart w:id="0" w:name="_GoBack"/>
      <w:bookmarkEnd w:id="0"/>
      <w:r w:rsidR="008F738C" w:rsidRPr="00560145">
        <w:rPr>
          <w:rFonts w:ascii="Calibri" w:hAnsi="Calibri" w:cs="Calibri"/>
          <w:color w:val="00B050"/>
          <w:sz w:val="23"/>
          <w:szCs w:val="23"/>
        </w:rPr>
        <w:t xml:space="preserve"> </w:t>
      </w:r>
    </w:p>
    <w:sectPr w:rsidR="007D55B9" w:rsidRPr="005601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38C" w:rsidRDefault="008F738C" w:rsidP="008F738C">
      <w:pPr>
        <w:spacing w:after="0" w:line="240" w:lineRule="auto"/>
      </w:pPr>
      <w:r>
        <w:separator/>
      </w:r>
    </w:p>
  </w:endnote>
  <w:endnote w:type="continuationSeparator" w:id="0">
    <w:p w:rsidR="008F738C" w:rsidRDefault="008F738C" w:rsidP="008F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8C" w:rsidRDefault="008F738C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8C" w:rsidRDefault="008F738C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8C" w:rsidRDefault="008F738C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38C" w:rsidRDefault="008F738C" w:rsidP="008F738C">
      <w:pPr>
        <w:spacing w:after="0" w:line="240" w:lineRule="auto"/>
      </w:pPr>
      <w:r>
        <w:separator/>
      </w:r>
    </w:p>
  </w:footnote>
  <w:footnote w:type="continuationSeparator" w:id="0">
    <w:p w:rsidR="008F738C" w:rsidRDefault="008F738C" w:rsidP="008F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8C" w:rsidRDefault="008F738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8C" w:rsidRPr="008F738C" w:rsidRDefault="00560145" w:rsidP="008F738C">
    <w:pPr>
      <w:pStyle w:val="Yltunniste"/>
      <w:rPr>
        <w:rFonts w:ascii="Bradley Hand ITC" w:hAnsi="Bradley Hand ITC"/>
        <w:i/>
        <w:sz w:val="24"/>
        <w:szCs w:val="24"/>
      </w:rPr>
    </w:pPr>
    <w:sdt>
      <w:sdtPr>
        <w:rPr>
          <w:rFonts w:ascii="Bradley Hand ITC" w:hAnsi="Bradley Hand ITC"/>
          <w:i/>
          <w:sz w:val="24"/>
          <w:szCs w:val="24"/>
        </w:rPr>
        <w:id w:val="1424677591"/>
        <w:docPartObj>
          <w:docPartGallery w:val="Watermarks"/>
          <w:docPartUnique/>
        </w:docPartObj>
      </w:sdtPr>
      <w:sdtEndPr/>
      <w:sdtContent>
        <w:r>
          <w:rPr>
            <w:rFonts w:ascii="Bradley Hand ITC" w:hAnsi="Bradley Hand ITC"/>
            <w:i/>
            <w:sz w:val="24"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LUONNOS"/>
              <w10:wrap anchorx="margin" anchory="margin"/>
            </v:shape>
          </w:pict>
        </w:r>
      </w:sdtContent>
    </w:sdt>
    <w:r w:rsidR="008F738C" w:rsidRPr="008F738C">
      <w:rPr>
        <w:rFonts w:ascii="Bradley Hand ITC" w:hAnsi="Bradley Hand ITC"/>
        <w:i/>
        <w:sz w:val="24"/>
        <w:szCs w:val="24"/>
      </w:rPr>
      <w:t xml:space="preserve">Ilomantsi </w:t>
    </w:r>
    <w:r w:rsidR="008F738C">
      <w:rPr>
        <w:rFonts w:ascii="Bradley Hand ITC" w:hAnsi="Bradley Hand ITC"/>
        <w:i/>
        <w:sz w:val="24"/>
        <w:szCs w:val="24"/>
      </w:rPr>
      <w:t>–</w:t>
    </w:r>
    <w:r w:rsidR="008F738C" w:rsidRPr="008F738C">
      <w:rPr>
        <w:rFonts w:ascii="Bradley Hand ITC" w:hAnsi="Bradley Hand ITC"/>
        <w:i/>
        <w:sz w:val="24"/>
        <w:szCs w:val="24"/>
      </w:rPr>
      <w:t xml:space="preserve"> </w:t>
    </w:r>
    <w:r w:rsidR="008F738C">
      <w:rPr>
        <w:rFonts w:ascii="Bradley Hand ITC" w:hAnsi="Bradley Hand ITC"/>
        <w:i/>
        <w:sz w:val="24"/>
        <w:szCs w:val="24"/>
      </w:rPr>
      <w:t>Joensuu - Juuka – Kontiolahti – Liperi – Outokumpu - Polvijärvi</w:t>
    </w:r>
  </w:p>
  <w:p w:rsidR="008F738C" w:rsidRDefault="008F738C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8C" w:rsidRDefault="008F738C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20D12"/>
    <w:multiLevelType w:val="hybridMultilevel"/>
    <w:tmpl w:val="72FC86F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2A8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9E2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5800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474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82CD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43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701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CC3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8C"/>
    <w:rsid w:val="00560145"/>
    <w:rsid w:val="007E03D4"/>
    <w:rsid w:val="008F738C"/>
    <w:rsid w:val="00935182"/>
    <w:rsid w:val="0096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614D00-D5E6-45E9-B0BA-844CB407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738C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738C"/>
    <w:pPr>
      <w:ind w:left="720"/>
      <w:contextualSpacing/>
    </w:pPr>
  </w:style>
  <w:style w:type="paragraph" w:customStyle="1" w:styleId="Default">
    <w:name w:val="Default"/>
    <w:rsid w:val="008F73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8F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738C"/>
  </w:style>
  <w:style w:type="paragraph" w:styleId="Alatunniste">
    <w:name w:val="footer"/>
    <w:basedOn w:val="Normaali"/>
    <w:link w:val="AlatunnisteChar"/>
    <w:uiPriority w:val="99"/>
    <w:unhideWhenUsed/>
    <w:rsid w:val="008F73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7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2016-02-04T14:59:00Z</dcterms:created>
  <dcterms:modified xsi:type="dcterms:W3CDTF">2016-02-04T14:59:00Z</dcterms:modified>
</cp:coreProperties>
</file>