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D7" w:rsidRDefault="004864D7" w:rsidP="004864D7">
      <w:pPr>
        <w:jc w:val="center"/>
        <w:rPr>
          <w:sz w:val="44"/>
          <w:szCs w:val="44"/>
        </w:rPr>
      </w:pPr>
      <w:r>
        <w:rPr>
          <w:noProof/>
          <w:sz w:val="44"/>
          <w:szCs w:val="44"/>
          <w:lang w:eastAsia="fi-FI"/>
        </w:rPr>
        <w:drawing>
          <wp:anchor distT="0" distB="0" distL="114300" distR="114300" simplePos="0" relativeHeight="251658240" behindDoc="0" locked="0" layoutInCell="1" allowOverlap="1" wp14:anchorId="2380C45C" wp14:editId="1DF9D2D8">
            <wp:simplePos x="5219700" y="895350"/>
            <wp:positionH relativeFrom="margin">
              <wp:align>right</wp:align>
            </wp:positionH>
            <wp:positionV relativeFrom="margin">
              <wp:align>top</wp:align>
            </wp:positionV>
            <wp:extent cx="885825" cy="885825"/>
            <wp:effectExtent l="0" t="0" r="9525" b="0"/>
            <wp:wrapSquare wrapText="bothSides"/>
            <wp:docPr id="2" name="Kuva 2" descr="C:\Users\Taina\AppData\Local\Microsoft\Windows\Temporary Internet Files\Content.IE5\2B3JNGBR\MC9004370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AppData\Local\Microsoft\Windows\Temporary Internet Files\Content.IE5\2B3JNGBR\MC900437099[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4"/>
          <w:szCs w:val="44"/>
          <w:lang w:eastAsia="fi-FI"/>
        </w:rPr>
        <mc:AlternateContent>
          <mc:Choice Requires="wps">
            <w:drawing>
              <wp:anchor distT="0" distB="0" distL="114300" distR="114300" simplePos="0" relativeHeight="251659264" behindDoc="0" locked="0" layoutInCell="1" allowOverlap="1" wp14:anchorId="257995F3" wp14:editId="447A50F6">
                <wp:simplePos x="0" y="0"/>
                <wp:positionH relativeFrom="column">
                  <wp:posOffset>4737735</wp:posOffset>
                </wp:positionH>
                <wp:positionV relativeFrom="paragraph">
                  <wp:posOffset>462280</wp:posOffset>
                </wp:positionV>
                <wp:extent cx="533400" cy="9525"/>
                <wp:effectExtent l="38100" t="76200" r="0" b="104775"/>
                <wp:wrapNone/>
                <wp:docPr id="3" name="Suora nuoliyhdysviiva 3"/>
                <wp:cNvGraphicFramePr/>
                <a:graphic xmlns:a="http://schemas.openxmlformats.org/drawingml/2006/main">
                  <a:graphicData uri="http://schemas.microsoft.com/office/word/2010/wordprocessingShape">
                    <wps:wsp>
                      <wps:cNvCnPr/>
                      <wps:spPr>
                        <a:xfrm flipH="1">
                          <a:off x="0" y="0"/>
                          <a:ext cx="533400" cy="952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uora nuoliyhdysviiva 3" o:spid="_x0000_s1026" type="#_x0000_t32" style="position:absolute;margin-left:373.05pt;margin-top:36.4pt;width:42pt;height:.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" strokecolor="red" strokeweight="1.5pt">
                <v:stroke endarrow="open"/>
              </v:shape>
            </w:pict>
          </mc:Fallback>
        </mc:AlternateContent>
      </w:r>
      <w:r>
        <w:rPr>
          <w:sz w:val="44"/>
          <w:szCs w:val="44"/>
        </w:rPr>
        <w:t>STRATEGIOIDEN OPETTAMINEN</w:t>
      </w:r>
    </w:p>
    <w:p w:rsidR="00075EAC" w:rsidRDefault="00075EAC" w:rsidP="004864D7">
      <w:pPr>
        <w:jc w:val="center"/>
        <w:rPr>
          <w:sz w:val="44"/>
          <w:szCs w:val="44"/>
        </w:rPr>
      </w:pPr>
      <w:bookmarkStart w:id="0" w:name="_GoBack"/>
      <w:bookmarkEnd w:id="0"/>
    </w:p>
    <w:tbl>
      <w:tblPr>
        <w:tblStyle w:val="TaulukkoRuudukko"/>
        <w:tblW w:w="9889" w:type="dxa"/>
        <w:tblLook w:val="04A0" w:firstRow="1" w:lastRow="0" w:firstColumn="1" w:lastColumn="0" w:noHBand="0" w:noVBand="1"/>
      </w:tblPr>
      <w:tblGrid>
        <w:gridCol w:w="1654"/>
        <w:gridCol w:w="8235"/>
      </w:tblGrid>
      <w:tr w:rsidR="00B75BA1" w:rsidTr="004864D7">
        <w:tc>
          <w:tcPr>
            <w:tcW w:w="9889" w:type="dxa"/>
            <w:gridSpan w:val="2"/>
          </w:tcPr>
          <w:p w:rsidR="00B75BA1" w:rsidRPr="00B75BA1" w:rsidRDefault="00B75BA1" w:rsidP="00EB00EA">
            <w:pPr>
              <w:rPr>
                <w:i/>
                <w:sz w:val="32"/>
                <w:szCs w:val="32"/>
              </w:rPr>
            </w:pPr>
            <w:r w:rsidRPr="00B75BA1">
              <w:rPr>
                <w:b/>
                <w:i/>
                <w:sz w:val="32"/>
                <w:szCs w:val="32"/>
              </w:rPr>
              <w:t xml:space="preserve">Tavoite: </w:t>
            </w:r>
            <w:r w:rsidRPr="00B75BA1">
              <w:rPr>
                <w:i/>
                <w:sz w:val="32"/>
                <w:szCs w:val="32"/>
              </w:rPr>
              <w:t xml:space="preserve">Luetun </w:t>
            </w:r>
            <w:proofErr w:type="gramStart"/>
            <w:r w:rsidRPr="00B75BA1">
              <w:rPr>
                <w:i/>
                <w:sz w:val="32"/>
                <w:szCs w:val="32"/>
              </w:rPr>
              <w:t>ymmärtäminen</w:t>
            </w:r>
            <w:r>
              <w:rPr>
                <w:i/>
                <w:sz w:val="32"/>
                <w:szCs w:val="32"/>
              </w:rPr>
              <w:t xml:space="preserve">        </w:t>
            </w:r>
            <w:r w:rsidRPr="00B75BA1">
              <w:rPr>
                <w:i/>
                <w:sz w:val="32"/>
                <w:szCs w:val="32"/>
              </w:rPr>
              <w:t xml:space="preserve">  </w:t>
            </w:r>
            <w:r w:rsidRPr="00B75BA1">
              <w:rPr>
                <w:b/>
                <w:i/>
                <w:sz w:val="32"/>
                <w:szCs w:val="32"/>
              </w:rPr>
              <w:t>Keino</w:t>
            </w:r>
            <w:proofErr w:type="gramEnd"/>
            <w:r w:rsidRPr="00B75BA1">
              <w:rPr>
                <w:b/>
                <w:i/>
                <w:sz w:val="32"/>
                <w:szCs w:val="32"/>
              </w:rPr>
              <w:t xml:space="preserve">: </w:t>
            </w:r>
            <w:r w:rsidR="00EB00EA">
              <w:rPr>
                <w:i/>
                <w:sz w:val="32"/>
                <w:szCs w:val="32"/>
              </w:rPr>
              <w:t>Peruutan ja luen uudestaan</w:t>
            </w:r>
          </w:p>
        </w:tc>
      </w:tr>
      <w:tr w:rsidR="00B75BA1" w:rsidTr="004864D7">
        <w:tc>
          <w:tcPr>
            <w:tcW w:w="1654" w:type="dxa"/>
          </w:tcPr>
          <w:p w:rsidR="00B75BA1" w:rsidRPr="00F309E4" w:rsidRDefault="00B75BA1" w:rsidP="00B75BA1">
            <w:pPr>
              <w:jc w:val="center"/>
              <w:rPr>
                <w:b/>
                <w:sz w:val="24"/>
                <w:szCs w:val="24"/>
              </w:rPr>
            </w:pPr>
            <w:r w:rsidRPr="00F309E4">
              <w:rPr>
                <w:b/>
                <w:sz w:val="24"/>
                <w:szCs w:val="24"/>
              </w:rPr>
              <w:t>Määritelmä</w:t>
            </w:r>
          </w:p>
        </w:tc>
        <w:tc>
          <w:tcPr>
            <w:tcW w:w="8235" w:type="dxa"/>
          </w:tcPr>
          <w:p w:rsidR="00B75BA1" w:rsidRPr="00B75BA1" w:rsidRDefault="00EB00EA" w:rsidP="00B75BA1">
            <w:pPr>
              <w:rPr>
                <w:sz w:val="24"/>
                <w:szCs w:val="24"/>
              </w:rPr>
            </w:pPr>
            <w:r>
              <w:rPr>
                <w:sz w:val="24"/>
                <w:szCs w:val="24"/>
              </w:rPr>
              <w:t>Kun luetun ymmärtäminen ”hajoaa”, siirrymme tekstissä taaksepäin ja luemme kohdan uudestaan ymmärtääksemme lukemamme.</w:t>
            </w:r>
          </w:p>
        </w:tc>
      </w:tr>
      <w:tr w:rsidR="00B75BA1" w:rsidTr="004864D7">
        <w:tc>
          <w:tcPr>
            <w:tcW w:w="1654" w:type="dxa"/>
          </w:tcPr>
          <w:p w:rsidR="00B75BA1" w:rsidRPr="00F309E4" w:rsidRDefault="00F309E4" w:rsidP="00B75BA1">
            <w:pPr>
              <w:jc w:val="center"/>
              <w:rPr>
                <w:b/>
                <w:sz w:val="24"/>
                <w:szCs w:val="24"/>
              </w:rPr>
            </w:pPr>
            <w:r w:rsidRPr="00F309E4">
              <w:rPr>
                <w:b/>
                <w:sz w:val="24"/>
                <w:szCs w:val="24"/>
              </w:rPr>
              <w:t>Miksi oppilaat tarvitsevat tätä strategiaa</w:t>
            </w:r>
          </w:p>
        </w:tc>
        <w:tc>
          <w:tcPr>
            <w:tcW w:w="8235" w:type="dxa"/>
          </w:tcPr>
          <w:p w:rsidR="00F309E4" w:rsidRPr="00B75BA1" w:rsidRDefault="00EB00EA" w:rsidP="00F309E4">
            <w:pPr>
              <w:rPr>
                <w:sz w:val="24"/>
                <w:szCs w:val="24"/>
              </w:rPr>
            </w:pPr>
            <w:r>
              <w:rPr>
                <w:sz w:val="24"/>
                <w:szCs w:val="24"/>
              </w:rPr>
              <w:t>Peruuttaminen ja uudestaan lukeminen kuuluu niihin keinoihin, joita hyvät lukijat käyttävät usein. Kun lukija peruuttaa ja lukee uudestaan tekstipätkän, hän usein lukee hitaammin, keskittyneemmin, jotta aivot ehtivät käsitellä tiedon paremmin.</w:t>
            </w:r>
          </w:p>
        </w:tc>
      </w:tr>
      <w:tr w:rsidR="00B75BA1" w:rsidTr="004864D7">
        <w:tc>
          <w:tcPr>
            <w:tcW w:w="1654" w:type="dxa"/>
          </w:tcPr>
          <w:p w:rsidR="00B75BA1" w:rsidRPr="00F309E4" w:rsidRDefault="00F309E4" w:rsidP="00B75BA1">
            <w:pPr>
              <w:jc w:val="center"/>
              <w:rPr>
                <w:b/>
                <w:sz w:val="24"/>
                <w:szCs w:val="24"/>
              </w:rPr>
            </w:pPr>
            <w:r>
              <w:rPr>
                <w:b/>
                <w:sz w:val="24"/>
                <w:szCs w:val="24"/>
              </w:rPr>
              <w:t>Onnistumisen salaisuus</w:t>
            </w:r>
          </w:p>
        </w:tc>
        <w:tc>
          <w:tcPr>
            <w:tcW w:w="8235" w:type="dxa"/>
          </w:tcPr>
          <w:p w:rsidR="00B75BA1" w:rsidRDefault="00EB00EA" w:rsidP="00F309E4">
            <w:pPr>
              <w:rPr>
                <w:sz w:val="24"/>
                <w:szCs w:val="24"/>
              </w:rPr>
            </w:pPr>
            <w:r>
              <w:rPr>
                <w:sz w:val="24"/>
                <w:szCs w:val="24"/>
              </w:rPr>
              <w:t xml:space="preserve">Lukijan täytyy </w:t>
            </w:r>
            <w:r>
              <w:rPr>
                <w:i/>
                <w:sz w:val="24"/>
                <w:szCs w:val="24"/>
              </w:rPr>
              <w:t xml:space="preserve">huomata, </w:t>
            </w:r>
            <w:r>
              <w:rPr>
                <w:sz w:val="24"/>
                <w:szCs w:val="24"/>
              </w:rPr>
              <w:t>että hän ei ymmärrä nyt lukemaansa tai että hän vain lukee sanoja eikä mieti sanojen merkitystä. Kun lukija käyttää tätä strategiaa, hänen täytyy hidastaa ja keskittyä miettimään lukemaansa.</w:t>
            </w:r>
          </w:p>
          <w:p w:rsidR="00EB00EA" w:rsidRDefault="00EB00EA" w:rsidP="00F309E4">
            <w:pPr>
              <w:rPr>
                <w:sz w:val="24"/>
                <w:szCs w:val="24"/>
              </w:rPr>
            </w:pPr>
          </w:p>
          <w:p w:rsidR="00EB00EA" w:rsidRPr="00EB00EA" w:rsidRDefault="00EB00EA" w:rsidP="00F309E4">
            <w:pPr>
              <w:rPr>
                <w:sz w:val="24"/>
                <w:szCs w:val="24"/>
              </w:rPr>
            </w:pPr>
            <w:r>
              <w:rPr>
                <w:sz w:val="24"/>
                <w:szCs w:val="24"/>
              </w:rPr>
              <w:t>Kiinnitä huomiota lukemaasi ja tarvittaessa hidasta ja mieti tarkasti mitä luet.</w:t>
            </w:r>
          </w:p>
        </w:tc>
      </w:tr>
      <w:tr w:rsidR="00B75BA1" w:rsidTr="004864D7">
        <w:tc>
          <w:tcPr>
            <w:tcW w:w="1654" w:type="dxa"/>
          </w:tcPr>
          <w:p w:rsidR="00B75BA1" w:rsidRPr="00F309E4" w:rsidRDefault="00F309E4" w:rsidP="00B75BA1">
            <w:pPr>
              <w:jc w:val="center"/>
              <w:rPr>
                <w:b/>
                <w:sz w:val="24"/>
                <w:szCs w:val="24"/>
              </w:rPr>
            </w:pPr>
            <w:r>
              <w:rPr>
                <w:b/>
                <w:sz w:val="24"/>
                <w:szCs w:val="24"/>
              </w:rPr>
              <w:t>Kuinka opetan strategiaa</w:t>
            </w:r>
          </w:p>
        </w:tc>
        <w:tc>
          <w:tcPr>
            <w:tcW w:w="8235" w:type="dxa"/>
          </w:tcPr>
          <w:p w:rsidR="00B75BA1" w:rsidRPr="00B75BA1" w:rsidRDefault="00F309E4" w:rsidP="00EB00EA">
            <w:pPr>
              <w:rPr>
                <w:sz w:val="24"/>
                <w:szCs w:val="24"/>
              </w:rPr>
            </w:pPr>
            <w:r>
              <w:rPr>
                <w:sz w:val="24"/>
                <w:szCs w:val="24"/>
              </w:rPr>
              <w:t>Tämä elinvoimainen strategia ei ole vain ensimmäinen</w:t>
            </w:r>
            <w:r w:rsidR="00EB00EA">
              <w:rPr>
                <w:sz w:val="24"/>
                <w:szCs w:val="24"/>
              </w:rPr>
              <w:t>,</w:t>
            </w:r>
            <w:r>
              <w:rPr>
                <w:sz w:val="24"/>
                <w:szCs w:val="24"/>
              </w:rPr>
              <w:t xml:space="preserve"> joka oppilaille opetetaan vaan strategia, jota mallitetaan joka päivä läpi vuoden.</w:t>
            </w:r>
          </w:p>
        </w:tc>
      </w:tr>
      <w:tr w:rsidR="00EB00EA" w:rsidTr="004864D7">
        <w:tc>
          <w:tcPr>
            <w:tcW w:w="1654" w:type="dxa"/>
          </w:tcPr>
          <w:p w:rsidR="00EB00EA" w:rsidRPr="00F309E4" w:rsidRDefault="00EB00EA" w:rsidP="00A67DF9">
            <w:pPr>
              <w:jc w:val="center"/>
              <w:rPr>
                <w:b/>
                <w:sz w:val="24"/>
                <w:szCs w:val="24"/>
              </w:rPr>
            </w:pPr>
            <w:r>
              <w:rPr>
                <w:b/>
                <w:sz w:val="24"/>
                <w:szCs w:val="24"/>
              </w:rPr>
              <w:t>Kuinka opetan strategiaa</w:t>
            </w:r>
          </w:p>
        </w:tc>
        <w:tc>
          <w:tcPr>
            <w:tcW w:w="8235" w:type="dxa"/>
          </w:tcPr>
          <w:p w:rsidR="00EB00EA" w:rsidRDefault="00EB00EA" w:rsidP="00EB00EA">
            <w:pPr>
              <w:rPr>
                <w:sz w:val="24"/>
                <w:szCs w:val="24"/>
              </w:rPr>
            </w:pPr>
            <w:r>
              <w:rPr>
                <w:sz w:val="24"/>
                <w:szCs w:val="24"/>
              </w:rPr>
              <w:t>Kun tarkkailee omaa lukemista, hämmästyy kuinka usein sitä peruuttaa ja lukee jonkun kohdan uudestaan. Siskosten suosik</w:t>
            </w:r>
            <w:r w:rsidR="0053432C">
              <w:rPr>
                <w:sz w:val="24"/>
                <w:szCs w:val="24"/>
              </w:rPr>
              <w:t xml:space="preserve">kitapa opettaa tämä strategia, kuten useimpien muiden strategioiden, on mallittaminen. Joka kerta kun valitsemme kirjan luettavaksi oppilaille, luemme joitakin kohtia uudestaan </w:t>
            </w:r>
            <w:proofErr w:type="gramStart"/>
            <w:r w:rsidR="0053432C">
              <w:rPr>
                <w:sz w:val="24"/>
                <w:szCs w:val="24"/>
              </w:rPr>
              <w:t>erilaista syistä</w:t>
            </w:r>
            <w:proofErr w:type="gramEnd"/>
            <w:r w:rsidR="0053432C">
              <w:rPr>
                <w:sz w:val="24"/>
                <w:szCs w:val="24"/>
              </w:rPr>
              <w:t>. Ensinnäkin he kertovat oppilaille joka kerta lukevansa jonkun kohdan uudestaan ja mitä he miettivät silloin. Pian oppilaat huomaavat itsenäisesti jo kun opettaja lukee jonkun kohdan uudestaan! Usein luokassa on joku oppilas, joka ryhtyy laskemaan kertoja, jolloin opettaja lukee jonkun kohdan uudestaan.</w:t>
            </w:r>
          </w:p>
          <w:p w:rsidR="0053432C" w:rsidRDefault="0053432C" w:rsidP="00EB00EA">
            <w:pPr>
              <w:rPr>
                <w:sz w:val="24"/>
                <w:szCs w:val="24"/>
              </w:rPr>
            </w:pPr>
          </w:p>
          <w:p w:rsidR="0053432C" w:rsidRDefault="0053432C" w:rsidP="00EB00EA">
            <w:pPr>
              <w:rPr>
                <w:sz w:val="24"/>
                <w:szCs w:val="24"/>
              </w:rPr>
            </w:pPr>
            <w:r>
              <w:rPr>
                <w:sz w:val="24"/>
                <w:szCs w:val="24"/>
              </w:rPr>
              <w:t>”Oliko lukemassani järkeä? Mitä hyvä lukija tekee, kun luetussa ei tunnu olevan järkeä? Hyvä lukija lukee kohdan uudestaan.”</w:t>
            </w:r>
          </w:p>
          <w:p w:rsidR="0053432C" w:rsidRDefault="0053432C" w:rsidP="00EB00EA">
            <w:pPr>
              <w:rPr>
                <w:sz w:val="24"/>
                <w:szCs w:val="24"/>
              </w:rPr>
            </w:pPr>
          </w:p>
          <w:p w:rsidR="0053432C" w:rsidRPr="00B75BA1" w:rsidRDefault="0053432C" w:rsidP="00EB00EA">
            <w:pPr>
              <w:rPr>
                <w:sz w:val="24"/>
                <w:szCs w:val="24"/>
              </w:rPr>
            </w:pPr>
            <w:r>
              <w:rPr>
                <w:sz w:val="24"/>
                <w:szCs w:val="24"/>
              </w:rPr>
              <w:t>”Kun luet tekstikohdan uudestaan, yritä lukea vähän hitaammin. Se usein auttaa sinua ymmärtämään paremmin mitä tekstissä sanotaan.”</w:t>
            </w:r>
          </w:p>
        </w:tc>
      </w:tr>
      <w:tr w:rsidR="00EB00EA" w:rsidTr="004864D7">
        <w:tc>
          <w:tcPr>
            <w:tcW w:w="1654" w:type="dxa"/>
          </w:tcPr>
          <w:p w:rsidR="00EB00EA" w:rsidRPr="00283057" w:rsidRDefault="00EB00EA" w:rsidP="00A67DF9">
            <w:pPr>
              <w:jc w:val="center"/>
              <w:rPr>
                <w:b/>
                <w:sz w:val="24"/>
                <w:szCs w:val="24"/>
              </w:rPr>
            </w:pPr>
            <w:r>
              <w:rPr>
                <w:b/>
                <w:sz w:val="24"/>
                <w:szCs w:val="24"/>
              </w:rPr>
              <w:t>Ratkaisuja pulmiin</w:t>
            </w:r>
          </w:p>
        </w:tc>
        <w:tc>
          <w:tcPr>
            <w:tcW w:w="8235" w:type="dxa"/>
          </w:tcPr>
          <w:p w:rsidR="00EB00EA" w:rsidRPr="00B75BA1" w:rsidRDefault="0053432C" w:rsidP="0053432C">
            <w:pPr>
              <w:rPr>
                <w:sz w:val="24"/>
                <w:szCs w:val="24"/>
              </w:rPr>
            </w:pPr>
            <w:r>
              <w:rPr>
                <w:sz w:val="24"/>
                <w:szCs w:val="24"/>
              </w:rPr>
              <w:t>Jotkut lapset eivät malta lukea peruuttaa ja lukea uudestaan. he haluavat lukea nopeasti ja edetä koko ajan. Mitä enemmän me mallitamme peruuttamista ja uudelleen lukemista, sitä enemmän oppilaat alkavat sitä käyttää.</w:t>
            </w:r>
          </w:p>
        </w:tc>
      </w:tr>
    </w:tbl>
    <w:p w:rsidR="00B75BA1" w:rsidRPr="00B75BA1" w:rsidRDefault="00B75BA1" w:rsidP="00B75BA1">
      <w:pPr>
        <w:jc w:val="center"/>
        <w:rPr>
          <w:sz w:val="44"/>
          <w:szCs w:val="44"/>
        </w:rPr>
      </w:pPr>
    </w:p>
    <w:sectPr w:rsidR="00B75BA1" w:rsidRPr="00B75BA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7651"/>
    <w:rsid w:val="00067B93"/>
    <w:rsid w:val="00075EAC"/>
    <w:rsid w:val="000902E4"/>
    <w:rsid w:val="0009134C"/>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2F2"/>
    <w:rsid w:val="00273329"/>
    <w:rsid w:val="00282617"/>
    <w:rsid w:val="0029381D"/>
    <w:rsid w:val="002943B5"/>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5106C"/>
    <w:rsid w:val="00453D2F"/>
    <w:rsid w:val="00465224"/>
    <w:rsid w:val="004668BE"/>
    <w:rsid w:val="004711A0"/>
    <w:rsid w:val="00474672"/>
    <w:rsid w:val="004864D7"/>
    <w:rsid w:val="004C570D"/>
    <w:rsid w:val="004C76D6"/>
    <w:rsid w:val="004D1D43"/>
    <w:rsid w:val="004E0820"/>
    <w:rsid w:val="004F6820"/>
    <w:rsid w:val="004F70D8"/>
    <w:rsid w:val="00500B54"/>
    <w:rsid w:val="00504E10"/>
    <w:rsid w:val="00511822"/>
    <w:rsid w:val="00513ABD"/>
    <w:rsid w:val="00515D5F"/>
    <w:rsid w:val="005334CE"/>
    <w:rsid w:val="0053432C"/>
    <w:rsid w:val="005358C2"/>
    <w:rsid w:val="005577A1"/>
    <w:rsid w:val="0057609D"/>
    <w:rsid w:val="00584B77"/>
    <w:rsid w:val="00590F7F"/>
    <w:rsid w:val="00593D26"/>
    <w:rsid w:val="005B1624"/>
    <w:rsid w:val="005D314A"/>
    <w:rsid w:val="005F36D6"/>
    <w:rsid w:val="005F6651"/>
    <w:rsid w:val="006036AE"/>
    <w:rsid w:val="00604BD2"/>
    <w:rsid w:val="00607092"/>
    <w:rsid w:val="00610752"/>
    <w:rsid w:val="006300D0"/>
    <w:rsid w:val="00633EFC"/>
    <w:rsid w:val="006363DB"/>
    <w:rsid w:val="0065361C"/>
    <w:rsid w:val="006627A6"/>
    <w:rsid w:val="0066312D"/>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D5E36"/>
    <w:rsid w:val="008E6E2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616"/>
    <w:rsid w:val="00D10848"/>
    <w:rsid w:val="00D213F5"/>
    <w:rsid w:val="00D23BD6"/>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D11C2"/>
    <w:rsid w:val="00DD1AA0"/>
    <w:rsid w:val="00DE4E36"/>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00EA"/>
    <w:rsid w:val="00EB380A"/>
    <w:rsid w:val="00EB755B"/>
    <w:rsid w:val="00EC454D"/>
    <w:rsid w:val="00ED251E"/>
    <w:rsid w:val="00ED7DAD"/>
    <w:rsid w:val="00EE08B4"/>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1911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Taina</cp:lastModifiedBy>
  <cp:revision>3</cp:revision>
  <dcterms:created xsi:type="dcterms:W3CDTF">2014-01-11T13:07:00Z</dcterms:created>
  <dcterms:modified xsi:type="dcterms:W3CDTF">2014-01-11T13:07:00Z</dcterms:modified>
</cp:coreProperties>
</file>