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Cambria" w:hAnsi="Cambria" w:cs="Cambria" w:eastAsia="Cambria"/>
          <w:b/>
          <w:color w:val="44546A"/>
          <w:spacing w:val="0"/>
          <w:position w:val="0"/>
          <w:sz w:val="40"/>
          <w:shd w:fill="auto" w:val="clear"/>
        </w:rPr>
      </w:pPr>
      <w:r>
        <w:rPr>
          <w:rFonts w:ascii="Cambria" w:hAnsi="Cambria" w:cs="Cambria" w:eastAsia="Cambria"/>
          <w:b/>
          <w:color w:val="44546A"/>
          <w:spacing w:val="0"/>
          <w:position w:val="0"/>
          <w:sz w:val="40"/>
          <w:shd w:fill="auto" w:val="clear"/>
        </w:rPr>
        <w:t xml:space="preserve">Yhteiskuntaoppi </w:t>
      </w:r>
    </w:p>
    <w:p>
      <w:pPr>
        <w:tabs>
          <w:tab w:val="left" w:pos="851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44546A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b/>
          <w:color w:val="44546A"/>
          <w:spacing w:val="0"/>
          <w:position w:val="0"/>
          <w:sz w:val="32"/>
          <w:shd w:fill="auto" w:val="clear"/>
        </w:rPr>
        <w:t xml:space="preserve">6. lk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44546A"/>
          <w:spacing w:val="0"/>
          <w:position w:val="0"/>
          <w:sz w:val="24"/>
          <w:shd w:fill="auto" w:val="clear"/>
        </w:rPr>
      </w:pPr>
    </w:p>
    <w:tbl>
      <w:tblPr/>
      <w:tblGrid>
        <w:gridCol w:w="10057"/>
      </w:tblGrid>
      <w:tr>
        <w:trPr>
          <w:trHeight w:val="1" w:hRule="atLeast"/>
          <w:jc w:val="left"/>
        </w:trPr>
        <w:tc>
          <w:tcPr>
            <w:tcW w:w="1005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  <w:t xml:space="preserve">Tavoitteet</w:t>
            </w:r>
          </w:p>
        </w:tc>
      </w:tr>
      <w:tr>
        <w:trPr>
          <w:trHeight w:val="2100" w:hRule="auto"/>
          <w:jc w:val="left"/>
        </w:trPr>
        <w:tc>
          <w:tcPr>
            <w:tcW w:w="1005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Oppilas oppii:</w:t>
            </w:r>
          </w:p>
          <w:p>
            <w:pPr>
              <w:numPr>
                <w:ilvl w:val="0"/>
                <w:numId w:val="9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työn ja yrittäjyyden merkitys yhteiskunnassa</w:t>
            </w:r>
          </w:p>
          <w:p>
            <w:pPr>
              <w:numPr>
                <w:ilvl w:val="0"/>
                <w:numId w:val="9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Suomen hallinnon perusperiaatteet</w:t>
            </w:r>
          </w:p>
          <w:p>
            <w:pPr>
              <w:numPr>
                <w:ilvl w:val="0"/>
                <w:numId w:val="9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kansalaisen vaikutusmahdollisuudet yhteiskunnallisessa päätöksenteossa</w:t>
            </w:r>
          </w:p>
          <w:p>
            <w:pPr>
              <w:numPr>
                <w:ilvl w:val="0"/>
                <w:numId w:val="9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tarkastelemaan median roolia muuttuvassa yhteiskunnassa</w:t>
            </w:r>
          </w:p>
          <w:p>
            <w:pPr>
              <w:numPr>
                <w:ilvl w:val="0"/>
                <w:numId w:val="9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ymmärtämään taloudellista toimintaa laajemmassa mittakaavassa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44546A"/>
          <w:spacing w:val="0"/>
          <w:position w:val="0"/>
          <w:sz w:val="24"/>
          <w:shd w:fill="auto" w:val="clear"/>
        </w:rPr>
      </w:pPr>
    </w:p>
    <w:tbl>
      <w:tblPr/>
      <w:tblGrid>
        <w:gridCol w:w="2388"/>
        <w:gridCol w:w="4182"/>
        <w:gridCol w:w="3802"/>
      </w:tblGrid>
      <w:tr>
        <w:trPr>
          <w:trHeight w:val="350" w:hRule="auto"/>
          <w:jc w:val="left"/>
        </w:trPr>
        <w:tc>
          <w:tcPr>
            <w:tcW w:w="10372" w:type="dxa"/>
            <w:gridSpan w:val="3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  <w:t xml:space="preserve">Oppisisällöt</w:t>
            </w:r>
          </w:p>
        </w:tc>
      </w:tr>
      <w:tr>
        <w:trPr>
          <w:trHeight w:val="318" w:hRule="auto"/>
          <w:jc w:val="left"/>
        </w:trPr>
        <w:tc>
          <w:tcPr>
            <w:tcW w:w="23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4"/>
                <w:shd w:fill="auto" w:val="clear"/>
              </w:rPr>
              <w:t xml:space="preserve">Osa-alue=sisältöalue</w:t>
            </w:r>
          </w:p>
        </w:tc>
        <w:tc>
          <w:tcPr>
            <w:tcW w:w="41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4"/>
                <w:shd w:fill="auto" w:val="clear"/>
              </w:rPr>
              <w:t xml:space="preserve">Sisältö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380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4"/>
                <w:shd w:fill="auto" w:val="clear"/>
              </w:rPr>
              <w:t xml:space="preserve">Laaja-alainen osaaminen</w:t>
            </w:r>
          </w:p>
        </w:tc>
      </w:tr>
      <w:tr>
        <w:trPr>
          <w:trHeight w:val="1354" w:hRule="auto"/>
          <w:jc w:val="left"/>
        </w:trPr>
        <w:tc>
          <w:tcPr>
            <w:tcW w:w="23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Työ ja yhteiskunta </w:t>
            </w:r>
          </w:p>
        </w:tc>
        <w:tc>
          <w:tcPr>
            <w:tcW w:w="41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Työn merkitys yhteiskunnassa, erilaiset ammatit, muuttuva työnkuva, ammatinvalinta, tutustuminen yrittäjyyteen</w:t>
            </w:r>
          </w:p>
        </w:tc>
        <w:tc>
          <w:tcPr>
            <w:tcW w:w="380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L2, L6, L7</w:t>
            </w:r>
          </w:p>
        </w:tc>
      </w:tr>
      <w:tr>
        <w:trPr>
          <w:trHeight w:val="286" w:hRule="auto"/>
          <w:jc w:val="left"/>
        </w:trPr>
        <w:tc>
          <w:tcPr>
            <w:tcW w:w="23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Suomen hallinto</w:t>
            </w:r>
          </w:p>
        </w:tc>
        <w:tc>
          <w:tcPr>
            <w:tcW w:w="41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Demokratia, kunta, eduskunta, Euroopan unioni, hallitus, presidentti, tutustuminen yksilön vaikutusmahdollisuuksiin kuntatasolla</w:t>
            </w:r>
          </w:p>
        </w:tc>
        <w:tc>
          <w:tcPr>
            <w:tcW w:w="380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L2, L3, L4, L7</w:t>
            </w:r>
          </w:p>
        </w:tc>
      </w:tr>
      <w:tr>
        <w:trPr>
          <w:trHeight w:val="605" w:hRule="auto"/>
          <w:jc w:val="left"/>
        </w:trPr>
        <w:tc>
          <w:tcPr>
            <w:tcW w:w="23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Oikeus ja turvallisuus</w:t>
            </w:r>
          </w:p>
        </w:tc>
        <w:tc>
          <w:tcPr>
            <w:tcW w:w="41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Lait, poliisi, rangaistukset, turvallisuus</w:t>
            </w:r>
          </w:p>
        </w:tc>
        <w:tc>
          <w:tcPr>
            <w:tcW w:w="380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L2, L3, L4, L7</w:t>
            </w:r>
          </w:p>
        </w:tc>
      </w:tr>
      <w:tr>
        <w:trPr>
          <w:trHeight w:val="605" w:hRule="auto"/>
          <w:jc w:val="left"/>
        </w:trPr>
        <w:tc>
          <w:tcPr>
            <w:tcW w:w="23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Media</w:t>
            </w:r>
          </w:p>
        </w:tc>
        <w:tc>
          <w:tcPr>
            <w:tcW w:w="41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Erilaiset mediat, turvallinen mediankäyttö, median luotettavuus, sosiaalinen media, tekijänoikeus</w:t>
            </w:r>
          </w:p>
        </w:tc>
        <w:tc>
          <w:tcPr>
            <w:tcW w:w="380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L1, L2, L4, L6, L7</w:t>
            </w:r>
          </w:p>
        </w:tc>
      </w:tr>
      <w:tr>
        <w:trPr>
          <w:trHeight w:val="605" w:hRule="auto"/>
          <w:jc w:val="left"/>
        </w:trPr>
        <w:tc>
          <w:tcPr>
            <w:tcW w:w="23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Talous</w:t>
            </w:r>
          </w:p>
        </w:tc>
        <w:tc>
          <w:tcPr>
            <w:tcW w:w="41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Taloudellinen toiminta ja sen merkitys, eri maksutavat, laina, verotus</w:t>
            </w:r>
          </w:p>
        </w:tc>
        <w:tc>
          <w:tcPr>
            <w:tcW w:w="380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L3, L4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44546A"/>
          <w:spacing w:val="0"/>
          <w:position w:val="0"/>
          <w:sz w:val="24"/>
          <w:shd w:fill="auto" w:val="clear"/>
        </w:rPr>
      </w:pPr>
    </w:p>
    <w:tbl>
      <w:tblPr/>
      <w:tblGrid>
        <w:gridCol w:w="5804"/>
        <w:gridCol w:w="414"/>
      </w:tblGrid>
      <w:tr>
        <w:trPr>
          <w:trHeight w:val="1" w:hRule="atLeast"/>
          <w:jc w:val="left"/>
        </w:trPr>
        <w:tc>
          <w:tcPr>
            <w:tcW w:w="580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  <w:t xml:space="preserve">                          Arviointi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  <w:t xml:space="preserve">Arvioinnissa keskitytään:</w:t>
            </w:r>
          </w:p>
          <w:p>
            <w:pPr>
              <w:numPr>
                <w:ilvl w:val="0"/>
                <w:numId w:val="34"/>
              </w:numPr>
              <w:spacing w:before="0" w:after="0" w:line="240"/>
              <w:ind w:right="0" w:left="720" w:hanging="360"/>
              <w:jc w:val="left"/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  <w:t xml:space="preserve">tuntiaktiivisuus</w:t>
            </w:r>
          </w:p>
          <w:p>
            <w:pPr>
              <w:numPr>
                <w:ilvl w:val="0"/>
                <w:numId w:val="34"/>
              </w:numPr>
              <w:spacing w:before="0" w:after="0" w:line="240"/>
              <w:ind w:right="0" w:left="720" w:hanging="360"/>
              <w:jc w:val="left"/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  <w:t xml:space="preserve">kirjallinen ja suullinen tuottaminen</w:t>
            </w:r>
          </w:p>
          <w:p>
            <w:pPr>
              <w:numPr>
                <w:ilvl w:val="0"/>
                <w:numId w:val="34"/>
              </w:numPr>
              <w:spacing w:before="0" w:after="0" w:line="240"/>
              <w:ind w:right="0" w:left="720" w:hanging="360"/>
              <w:jc w:val="left"/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  <w:t xml:space="preserve">kirjalliset ja suulliset kokeet</w:t>
            </w:r>
          </w:p>
          <w:p>
            <w:pPr>
              <w:numPr>
                <w:ilvl w:val="0"/>
                <w:numId w:val="34"/>
              </w:numPr>
              <w:spacing w:before="0" w:after="0" w:line="240"/>
              <w:ind w:right="0" w:left="720" w:hanging="360"/>
              <w:jc w:val="left"/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  <w:t xml:space="preserve">yhteistoiminnallinen oppiminen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2589" w:hRule="auto"/>
          <w:jc w:val="left"/>
        </w:trPr>
        <w:tc>
          <w:tcPr>
            <w:tcW w:w="580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4"/>
                <w:shd w:fill="auto" w:val="clear"/>
              </w:rPr>
              <w:t xml:space="preserve">Hyvä osaaminen (8)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color w:val="44546A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color w:val="44546A"/>
                <w:spacing w:val="0"/>
                <w:position w:val="0"/>
                <w:sz w:val="24"/>
                <w:shd w:fill="auto" w:val="clear"/>
              </w:rPr>
              <w:t xml:space="preserve">Oppilas osaa selittää yhteisten sääntöjen merkityksen ja toimia niiden mukaisesti. Oppilas osaa perustella, miksi ihmisoikeudet ovat tärkeitä ja mihin oikeusjärjestelmää tarvitaan.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color w:val="44546A"/>
                <w:spacing w:val="0"/>
                <w:position w:val="0"/>
                <w:sz w:val="24"/>
                <w:shd w:fill="auto" w:val="clear"/>
              </w:rPr>
              <w:t xml:space="preserve">Oppilas osaa kuvailla, millainen merkitys medialla on hänen omassa elämässään ja miten erilaisia medioita voidaan käyttää vaikuttamisen välineenä.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color w:val="44546A"/>
                <w:spacing w:val="0"/>
                <w:position w:val="0"/>
                <w:sz w:val="24"/>
                <w:shd w:fill="auto" w:val="clear"/>
              </w:rPr>
              <w:t xml:space="preserve">Oppilas osaa antaa esimerkkejä työnteon ja yrittäjyyden merkityksestä perheen toimeentulon lähteenä ja yhteiskunnan toimivuuden perustana.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color w:val="44546A"/>
                <w:spacing w:val="0"/>
                <w:position w:val="0"/>
                <w:sz w:val="24"/>
                <w:shd w:fill="auto" w:val="clear"/>
              </w:rPr>
              <w:t xml:space="preserve">Oppilas osaa selittää esimerkkien avulla, että eri toimijoiden tuottamaan yhteiskunnalliseen tietoon liittyy erilaisia arvoja, näkökulmia ja tarkoitusperiä.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color w:val="44546A"/>
                <w:spacing w:val="0"/>
                <w:position w:val="0"/>
                <w:sz w:val="24"/>
                <w:shd w:fill="auto" w:val="clear"/>
              </w:rPr>
              <w:t xml:space="preserve">Oppilas osaa soveltaa demokraattisessa yhteisössä toimimisen periaatteita ja taitoja, kuten kuuntelemista, kantaa ottamista, sopeutumista enemmistö- päätöksiin sekä vaikuttamista lähiyhteisössä.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color w:val="44546A"/>
                <w:spacing w:val="0"/>
                <w:position w:val="0"/>
                <w:sz w:val="24"/>
                <w:shd w:fill="auto" w:val="clear"/>
              </w:rPr>
              <w:t xml:space="preserve">Oppilas osaa perustella omaan rahankäyttöönsä sekä kuluttamiseen liittyviä ratkaisuja sekä pystyy kertomaan, millaisia muihin ihmisiin sekä ympäristöön ulottuvia vaikutuksia hänen kuluttamispäätöksillään on.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color w:val="44546A"/>
                <w:spacing w:val="0"/>
                <w:position w:val="0"/>
                <w:sz w:val="24"/>
                <w:shd w:fill="auto" w:val="clear"/>
              </w:rPr>
              <w:t xml:space="preserve">Oppilas osaa käyttää mediaa yhteiskunnallisen ajattelun ja toiminnan välineenä sekä pohtia sen käyttämiseen liittyviä turvallisuusnäkökulmia.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44546A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color w:val="44546A"/>
                <w:spacing w:val="0"/>
                <w:position w:val="0"/>
                <w:sz w:val="24"/>
                <w:shd w:fill="auto" w:val="clear"/>
              </w:rPr>
              <w:t xml:space="preserve">.     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41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  </w:t>
            </w:r>
          </w:p>
        </w:tc>
      </w:tr>
      <w:tr>
        <w:trPr>
          <w:trHeight w:val="65" w:hRule="auto"/>
          <w:jc w:val="left"/>
        </w:trPr>
        <w:tc>
          <w:tcPr>
            <w:tcW w:w="580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1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9">
    <w:abstractNumId w:val="6"/>
  </w:num>
  <w:num w:numId="3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