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32" w:rsidRPr="00244032" w:rsidRDefault="00244032">
      <w:pPr>
        <w:rPr>
          <w:b/>
          <w:sz w:val="24"/>
          <w:szCs w:val="24"/>
        </w:rPr>
      </w:pPr>
      <w:r w:rsidRPr="007A153C">
        <w:rPr>
          <w:b/>
          <w:sz w:val="24"/>
          <w:szCs w:val="24"/>
        </w:rPr>
        <w:t>MUUNTAJATYÖ</w:t>
      </w:r>
      <w:r>
        <w:rPr>
          <w:b/>
          <w:sz w:val="24"/>
          <w:szCs w:val="24"/>
        </w:rPr>
        <w:t xml:space="preserve"> 9.lk FYSIIKKA, sähkömagnetismi</w:t>
      </w:r>
    </w:p>
    <w:p w:rsidR="007A153C" w:rsidRPr="007A153C" w:rsidRDefault="007A153C">
      <w:pPr>
        <w:rPr>
          <w:b/>
        </w:rPr>
      </w:pPr>
      <w:r w:rsidRPr="007A153C">
        <w:rPr>
          <w:b/>
        </w:rPr>
        <w:t>Välineet:</w:t>
      </w:r>
    </w:p>
    <w:p w:rsidR="007A153C" w:rsidRDefault="007A153C" w:rsidP="007A153C">
      <w:pPr>
        <w:pStyle w:val="Luettelokappale"/>
        <w:numPr>
          <w:ilvl w:val="0"/>
          <w:numId w:val="1"/>
        </w:numPr>
      </w:pPr>
      <w:r>
        <w:t>virtalähde (käytetään vaihtovirtaa AC)</w:t>
      </w:r>
    </w:p>
    <w:p w:rsidR="007A153C" w:rsidRDefault="007A153C" w:rsidP="007A153C">
      <w:pPr>
        <w:pStyle w:val="Luettelokappale"/>
        <w:numPr>
          <w:ilvl w:val="0"/>
          <w:numId w:val="1"/>
        </w:numPr>
      </w:pPr>
      <w:r>
        <w:t>johtimia</w:t>
      </w:r>
      <w:r w:rsidR="00244032">
        <w:t xml:space="preserve"> tarpeellinen määrä</w:t>
      </w:r>
    </w:p>
    <w:p w:rsidR="007A153C" w:rsidRDefault="007A153C" w:rsidP="007A153C">
      <w:pPr>
        <w:pStyle w:val="Luettelokappale"/>
        <w:numPr>
          <w:ilvl w:val="0"/>
          <w:numId w:val="1"/>
        </w:numPr>
      </w:pPr>
      <w:r>
        <w:t xml:space="preserve">sähköopin työsarja laatikossa, jossa </w:t>
      </w:r>
    </w:p>
    <w:p w:rsidR="007A153C" w:rsidRDefault="007A153C" w:rsidP="007A153C">
      <w:pPr>
        <w:pStyle w:val="Luettelokappale"/>
        <w:numPr>
          <w:ilvl w:val="1"/>
          <w:numId w:val="1"/>
        </w:numPr>
      </w:pPr>
      <w:r>
        <w:t>käämit 100, 200 ja 300 kierrosta</w:t>
      </w:r>
    </w:p>
    <w:p w:rsidR="007A153C" w:rsidRDefault="007A153C" w:rsidP="007A153C">
      <w:pPr>
        <w:pStyle w:val="Luettelokappale"/>
        <w:numPr>
          <w:ilvl w:val="1"/>
          <w:numId w:val="1"/>
        </w:numPr>
      </w:pPr>
      <w:r>
        <w:t>rautasydän (kaksiosainen)</w:t>
      </w:r>
    </w:p>
    <w:p w:rsidR="007A153C" w:rsidRDefault="007A153C" w:rsidP="007A153C">
      <w:pPr>
        <w:pStyle w:val="Luettelokappale"/>
        <w:numPr>
          <w:ilvl w:val="0"/>
          <w:numId w:val="1"/>
        </w:numPr>
      </w:pPr>
      <w:r>
        <w:t>jännitemittari 2 kpl (</w:t>
      </w:r>
      <w:r w:rsidR="00244032">
        <w:t>kiitettävän työssä myös virtamittari 2 kpl</w:t>
      </w:r>
      <w:r w:rsidR="00C23A67">
        <w:t xml:space="preserve"> ja vastus</w:t>
      </w:r>
      <w:r>
        <w:t>)</w:t>
      </w:r>
    </w:p>
    <w:p w:rsidR="007A153C" w:rsidRPr="007A153C" w:rsidRDefault="007A153C" w:rsidP="007A153C">
      <w:pPr>
        <w:rPr>
          <w:rFonts w:cstheme="minorHAnsi"/>
          <w:b/>
        </w:rPr>
      </w:pPr>
      <w:r w:rsidRPr="007A153C">
        <w:rPr>
          <w:rFonts w:cstheme="minorHAnsi"/>
          <w:b/>
        </w:rPr>
        <w:t>Työohje:</w:t>
      </w:r>
    </w:p>
    <w:p w:rsidR="007A153C" w:rsidRPr="007A153C" w:rsidRDefault="007A153C" w:rsidP="007A153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Rakenna kuvan mukainen kytkentä (muuntaja). Käytössäsi on kolmenlaisia käämejä. Kokeile kaikkia mahdollisia käämiyhdistelmiä ja kirjaa mitatut jännitteet (molemmista mittareista) ylös taulukkoon. Keksi itse millainen on hyvä taulukko.</w:t>
      </w:r>
      <w:r w:rsidR="00D23759">
        <w:rPr>
          <w:rFonts w:eastAsia="Times New Roman" w:cstheme="minorHAnsi"/>
          <w:color w:val="000000"/>
        </w:rPr>
        <w:t xml:space="preserve"> Muista tehdä hypoteesi ennen kuin alat </w:t>
      </w:r>
      <w:proofErr w:type="gramStart"/>
      <w:r w:rsidR="00D23759">
        <w:rPr>
          <w:rFonts w:eastAsia="Times New Roman" w:cstheme="minorHAnsi"/>
          <w:color w:val="000000"/>
        </w:rPr>
        <w:t>mittaamaan</w:t>
      </w:r>
      <w:proofErr w:type="gramEnd"/>
      <w:r w:rsidR="00D23759">
        <w:rPr>
          <w:rFonts w:eastAsia="Times New Roman" w:cstheme="minorHAnsi"/>
          <w:color w:val="000000"/>
        </w:rPr>
        <w:t>!</w:t>
      </w:r>
    </w:p>
    <w:p w:rsidR="007A153C" w:rsidRDefault="007A153C" w:rsidP="007A153C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i-FI"/>
        </w:rPr>
        <w:drawing>
          <wp:inline distT="0" distB="0" distL="0" distR="0" wp14:anchorId="1F488127" wp14:editId="3B8F7921">
            <wp:extent cx="3897778" cy="231160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825" cy="236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CF" w:rsidRDefault="009D06CF" w:rsidP="007A153C">
      <w:r>
        <w:t>Tee työstä työselos</w:t>
      </w:r>
      <w:r w:rsidR="00244032">
        <w:t>tus</w:t>
      </w:r>
      <w:r w:rsidR="00DE6231">
        <w:t xml:space="preserve">. </w:t>
      </w:r>
      <w:r>
        <w:t>Pohd</w:t>
      </w:r>
      <w:r w:rsidR="00DE6231">
        <w:t>i työselostuksen johtopäätökset-</w:t>
      </w:r>
      <w:r>
        <w:t>osiossa mikä on jännitteiden ja käämien kierrosten lukumäärän välinen suhde. Mieti, osaatko muodos</w:t>
      </w:r>
      <w:r w:rsidR="007F7EE1">
        <w:t>taa tästä teorian</w:t>
      </w:r>
      <w:r w:rsidR="00703E34">
        <w:t xml:space="preserve"> ja/tai laskukaavan</w:t>
      </w:r>
      <w:r w:rsidR="007F7EE1">
        <w:t xml:space="preserve"> ja ennustaa sen perusteella</w:t>
      </w:r>
      <w:r>
        <w:t xml:space="preserve"> </w:t>
      </w:r>
      <w:r w:rsidR="00DE6231">
        <w:t xml:space="preserve">sopivan jännitteen </w:t>
      </w:r>
      <w:r>
        <w:t xml:space="preserve">seuraaviin tapauksiin: </w:t>
      </w:r>
    </w:p>
    <w:p w:rsidR="00244032" w:rsidRDefault="00244032" w:rsidP="007A153C"/>
    <w:tbl>
      <w:tblPr>
        <w:tblStyle w:val="TaulukkoRuudukko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1551"/>
        <w:gridCol w:w="1623"/>
      </w:tblGrid>
      <w:tr w:rsidR="009D06CF" w:rsidRPr="005D542B" w:rsidTr="00244032">
        <w:trPr>
          <w:trHeight w:val="744"/>
        </w:trPr>
        <w:tc>
          <w:tcPr>
            <w:tcW w:w="1551" w:type="dxa"/>
            <w:tcBorders>
              <w:top w:val="single" w:sz="4" w:space="0" w:color="auto"/>
            </w:tcBorders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Jännite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Kierrosten</w:t>
            </w:r>
            <w:proofErr w:type="spellEnd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lkm</w:t>
            </w:r>
            <w:proofErr w:type="spellEnd"/>
          </w:p>
        </w:tc>
      </w:tr>
      <w:tr w:rsidR="009D06CF" w:rsidRPr="005D542B" w:rsidTr="00244032">
        <w:trPr>
          <w:trHeight w:val="775"/>
        </w:trPr>
        <w:tc>
          <w:tcPr>
            <w:tcW w:w="1551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400 V</w:t>
            </w:r>
          </w:p>
        </w:tc>
        <w:tc>
          <w:tcPr>
            <w:tcW w:w="1623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D06CF" w:rsidRPr="005D542B" w:rsidTr="00244032">
        <w:trPr>
          <w:trHeight w:val="744"/>
        </w:trPr>
        <w:tc>
          <w:tcPr>
            <w:tcW w:w="1551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</w:t>
            </w:r>
          </w:p>
        </w:tc>
        <w:tc>
          <w:tcPr>
            <w:tcW w:w="1623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50</w:t>
            </w:r>
          </w:p>
        </w:tc>
      </w:tr>
    </w:tbl>
    <w:tbl>
      <w:tblPr>
        <w:tblStyle w:val="TaulukkoRuudukko"/>
        <w:tblpPr w:leftFromText="180" w:rightFromText="180" w:vertAnchor="text" w:horzAnchor="page" w:tblpX="6199" w:tblpY="-37"/>
        <w:tblW w:w="0" w:type="auto"/>
        <w:tblLook w:val="04A0" w:firstRow="1" w:lastRow="0" w:firstColumn="1" w:lastColumn="0" w:noHBand="0" w:noVBand="1"/>
      </w:tblPr>
      <w:tblGrid>
        <w:gridCol w:w="1551"/>
        <w:gridCol w:w="1623"/>
      </w:tblGrid>
      <w:tr w:rsidR="009D06CF" w:rsidRPr="005D542B" w:rsidTr="00244032">
        <w:trPr>
          <w:trHeight w:val="744"/>
        </w:trPr>
        <w:tc>
          <w:tcPr>
            <w:tcW w:w="1551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Jännite</w:t>
            </w:r>
            <w:proofErr w:type="spellEnd"/>
          </w:p>
        </w:tc>
        <w:tc>
          <w:tcPr>
            <w:tcW w:w="1623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Kierrosten</w:t>
            </w:r>
            <w:proofErr w:type="spellEnd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lkm</w:t>
            </w:r>
            <w:proofErr w:type="spellEnd"/>
          </w:p>
        </w:tc>
      </w:tr>
      <w:tr w:rsidR="009D06CF" w:rsidRPr="005D542B" w:rsidTr="00244032">
        <w:trPr>
          <w:trHeight w:val="744"/>
        </w:trPr>
        <w:tc>
          <w:tcPr>
            <w:tcW w:w="1551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</w:t>
            </w:r>
          </w:p>
        </w:tc>
        <w:tc>
          <w:tcPr>
            <w:tcW w:w="1623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D06CF" w:rsidRPr="005D542B" w:rsidTr="00244032">
        <w:trPr>
          <w:trHeight w:val="744"/>
        </w:trPr>
        <w:tc>
          <w:tcPr>
            <w:tcW w:w="1551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60 V</w:t>
            </w:r>
          </w:p>
        </w:tc>
        <w:tc>
          <w:tcPr>
            <w:tcW w:w="1623" w:type="dxa"/>
          </w:tcPr>
          <w:p w:rsidR="009D06CF" w:rsidRPr="005D542B" w:rsidRDefault="009D06CF" w:rsidP="00260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D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</w:tr>
    </w:tbl>
    <w:p w:rsidR="009D06CF" w:rsidRDefault="009D06CF" w:rsidP="009D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6CF" w:rsidRDefault="009D06CF" w:rsidP="009D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6CF" w:rsidRDefault="009D06CF" w:rsidP="009D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6CF" w:rsidRDefault="009D06CF" w:rsidP="009D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6CF" w:rsidRDefault="009D06CF" w:rsidP="009D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6CF" w:rsidRDefault="00DE6231" w:rsidP="00D76AB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proofErr w:type="spellStart"/>
      <w:r w:rsidRPr="00DE6231">
        <w:rPr>
          <w:rFonts w:eastAsia="Times New Roman" w:cstheme="minorHAnsi"/>
          <w:b/>
          <w:color w:val="000000"/>
        </w:rPr>
        <w:t>Huom</w:t>
      </w:r>
      <w:proofErr w:type="spellEnd"/>
      <w:r w:rsidRPr="00DE6231">
        <w:rPr>
          <w:rFonts w:eastAsia="Times New Roman" w:cstheme="minorHAnsi"/>
          <w:b/>
          <w:color w:val="000000"/>
        </w:rPr>
        <w:t>!</w:t>
      </w:r>
      <w:r>
        <w:rPr>
          <w:rFonts w:eastAsia="Times New Roman" w:cstheme="minorHAnsi"/>
          <w:color w:val="000000"/>
        </w:rPr>
        <w:t xml:space="preserve"> </w:t>
      </w:r>
      <w:r w:rsidR="00244032">
        <w:rPr>
          <w:rFonts w:eastAsia="Times New Roman" w:cstheme="minorHAnsi"/>
          <w:color w:val="000000"/>
        </w:rPr>
        <w:t>Kiitettävän arvosanan saamiseksi tulisi tutkia myös, miten sähkövirta käyttäytyy vastaavassa tilanteessa (jolloin sinun tarvitsee toistaa mittaukset myös virtamittarilla</w:t>
      </w:r>
      <w:r>
        <w:rPr>
          <w:rFonts w:eastAsia="Times New Roman" w:cstheme="minorHAnsi"/>
          <w:color w:val="000000"/>
        </w:rPr>
        <w:t>)</w:t>
      </w:r>
      <w:r w:rsidR="00244032">
        <w:rPr>
          <w:rFonts w:eastAsia="Times New Roman" w:cstheme="minorHAnsi"/>
          <w:color w:val="000000"/>
        </w:rPr>
        <w:t xml:space="preserve">. </w:t>
      </w:r>
      <w:r w:rsidR="001D4A20">
        <w:rPr>
          <w:rFonts w:eastAsia="Times New Roman" w:cstheme="minorHAnsi"/>
          <w:color w:val="000000"/>
        </w:rPr>
        <w:t>Virtamittaria ei koskaan saisi kytkeä ilman kuormaa, joten ainakin toisiopuolelle kannattaa lisätä virtamittarin kaveriksi yksi laatikosta löytyvistä kolmesta vastuksesta. Muista virtamittarin kytkeminen sarjaan!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D76ABC" w:rsidTr="00EC3710">
        <w:trPr>
          <w:trHeight w:val="1134"/>
        </w:trPr>
        <w:tc>
          <w:tcPr>
            <w:tcW w:w="9628" w:type="dxa"/>
            <w:gridSpan w:val="3"/>
            <w:vAlign w:val="center"/>
          </w:tcPr>
          <w:p w:rsidR="00D76ABC" w:rsidRDefault="00D76ABC" w:rsidP="00EC3710">
            <w:pPr>
              <w:spacing w:line="276" w:lineRule="auto"/>
            </w:pPr>
            <w:r>
              <w:lastRenderedPageBreak/>
              <w:t>Arvioijan nimi:</w:t>
            </w:r>
          </w:p>
          <w:p w:rsidR="00D76ABC" w:rsidRDefault="00D76ABC" w:rsidP="00EC3710">
            <w:pPr>
              <w:spacing w:line="276" w:lineRule="auto"/>
            </w:pPr>
          </w:p>
          <w:p w:rsidR="00D76ABC" w:rsidRDefault="00D76ABC" w:rsidP="00EC3710">
            <w:pPr>
              <w:spacing w:line="276" w:lineRule="auto"/>
            </w:pPr>
            <w:r>
              <w:t>Arvioitavien nimet:</w:t>
            </w:r>
          </w:p>
        </w:tc>
      </w:tr>
      <w:tr w:rsidR="00D76ABC" w:rsidTr="00EC3710">
        <w:trPr>
          <w:trHeight w:val="509"/>
        </w:trPr>
        <w:tc>
          <w:tcPr>
            <w:tcW w:w="4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6ABC" w:rsidRDefault="00D76ABC" w:rsidP="00EC3710">
            <w:pPr>
              <w:spacing w:line="276" w:lineRule="auto"/>
            </w:pPr>
            <w:r>
              <w:t>A</w:t>
            </w:r>
            <w:bookmarkStart w:id="0" w:name="_GoBack"/>
            <w:bookmarkEnd w:id="0"/>
            <w:r>
              <w:t>rviointikriteeri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6ABC" w:rsidRDefault="00D76ABC" w:rsidP="00EC3710">
            <w:pPr>
              <w:spacing w:line="276" w:lineRule="auto"/>
            </w:pPr>
            <w:r>
              <w:t>pistettä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6ABC" w:rsidRDefault="00D76ABC" w:rsidP="00EC3710">
            <w:pPr>
              <w:spacing w:line="276" w:lineRule="auto"/>
            </w:pPr>
            <w:r>
              <w:t>kommentti</w:t>
            </w:r>
          </w:p>
        </w:tc>
      </w:tr>
      <w:tr w:rsidR="00D76ABC" w:rsidTr="00EC3710">
        <w:trPr>
          <w:trHeight w:val="853"/>
        </w:trPr>
        <w:tc>
          <w:tcPr>
            <w:tcW w:w="4106" w:type="dxa"/>
            <w:tcBorders>
              <w:top w:val="single" w:sz="12" w:space="0" w:color="auto"/>
            </w:tcBorders>
            <w:vAlign w:val="center"/>
          </w:tcPr>
          <w:p w:rsidR="00D76ABC" w:rsidRDefault="00D76ABC" w:rsidP="00EC3710">
            <w:pPr>
              <w:spacing w:line="276" w:lineRule="auto"/>
            </w:pPr>
            <w:r>
              <w:t>Työn kulku on selostettu selkeästi. Työn idean ymmärtää, vaikka ei lukisi työohjetta.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  <w:tcBorders>
              <w:top w:val="single" w:sz="12" w:space="0" w:color="auto"/>
            </w:tcBorders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688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 xml:space="preserve">Työhön liittyvät teoreettiset lähtökohdat on esitelty. 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61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Hypoteesi on pohdittu hyvin perusteluineen ja esitetty selkeästi.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681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Käytetyt välineet on listattu selkeästi.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975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Kytkentäkaavio on piirretty tai mittauslaitteisto kuvattu ja kuva on liitetty työselostukseen.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49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Mittaustulokset on esitetty selkeästi ja niissä on perässä yksiköt. Taulukko on selkeä.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33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On osattu mitata kaikki mahdolliset käämiyhdistelmät (6 kpl).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31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On löydetty yhteys käämien kierrosten ja jännitteenmuutoksen välille.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43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On osattu matemaattisesti muodostaa muuntajan laskukaava.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41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On osattu laskea tai päätellä oikeat jännitteet työohjeen taulukoihin.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841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Oman hypoteesin toteutumista ja mahdollisia virheitä on pohdittu järkevästi.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1219"/>
        </w:trPr>
        <w:tc>
          <w:tcPr>
            <w:tcW w:w="4106" w:type="dxa"/>
            <w:vAlign w:val="center"/>
          </w:tcPr>
          <w:p w:rsidR="00D76ABC" w:rsidRDefault="00D76ABC" w:rsidP="00EC3710">
            <w:pPr>
              <w:spacing w:line="276" w:lineRule="auto"/>
            </w:pPr>
            <w:r>
              <w:t>On mitattu myös sähkövirrat eri yhdistelmillä ja löydetty yhteys käämien kierrosten ja sähkövirranmuutoksen välille sekä erilaisuus jännitteenmuutokseen verrattuna.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0     1     2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  <w:tr w:rsidR="00D76ABC" w:rsidTr="00EC3710">
        <w:trPr>
          <w:trHeight w:val="425"/>
        </w:trPr>
        <w:tc>
          <w:tcPr>
            <w:tcW w:w="4106" w:type="dxa"/>
            <w:vAlign w:val="center"/>
          </w:tcPr>
          <w:p w:rsidR="00D76ABC" w:rsidRPr="00AD3057" w:rsidRDefault="00D76ABC" w:rsidP="00EC3710">
            <w:pPr>
              <w:spacing w:line="276" w:lineRule="auto"/>
              <w:jc w:val="right"/>
              <w:rPr>
                <w:b/>
              </w:rPr>
            </w:pPr>
            <w:r w:rsidRPr="00AD3057">
              <w:rPr>
                <w:b/>
              </w:rPr>
              <w:t>yhteensä</w:t>
            </w:r>
          </w:p>
        </w:tc>
        <w:tc>
          <w:tcPr>
            <w:tcW w:w="1559" w:type="dxa"/>
            <w:vAlign w:val="center"/>
          </w:tcPr>
          <w:p w:rsidR="00D76ABC" w:rsidRDefault="00D76ABC" w:rsidP="00EC3710">
            <w:pPr>
              <w:spacing w:line="276" w:lineRule="auto"/>
              <w:jc w:val="center"/>
            </w:pPr>
            <w:r>
              <w:t>/ 20 p.</w:t>
            </w:r>
          </w:p>
        </w:tc>
        <w:tc>
          <w:tcPr>
            <w:tcW w:w="3963" w:type="dxa"/>
          </w:tcPr>
          <w:p w:rsidR="00D76ABC" w:rsidRDefault="00D76ABC" w:rsidP="00EC3710">
            <w:pPr>
              <w:spacing w:line="276" w:lineRule="auto"/>
            </w:pPr>
          </w:p>
        </w:tc>
      </w:tr>
    </w:tbl>
    <w:p w:rsidR="00D76ABC" w:rsidRPr="00D76ABC" w:rsidRDefault="00D76ABC" w:rsidP="00D76AB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</w:p>
    <w:sectPr w:rsidR="00D76ABC" w:rsidRPr="00D76A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020F2"/>
    <w:multiLevelType w:val="hybridMultilevel"/>
    <w:tmpl w:val="0480F0FC"/>
    <w:lvl w:ilvl="0" w:tplc="A816F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3C"/>
    <w:rsid w:val="000E1DBC"/>
    <w:rsid w:val="001D4A20"/>
    <w:rsid w:val="00244032"/>
    <w:rsid w:val="00437328"/>
    <w:rsid w:val="00703E34"/>
    <w:rsid w:val="007A153C"/>
    <w:rsid w:val="007F7EE1"/>
    <w:rsid w:val="009D06CF"/>
    <w:rsid w:val="00C23A67"/>
    <w:rsid w:val="00D23759"/>
    <w:rsid w:val="00D76ABC"/>
    <w:rsid w:val="00D83FA7"/>
    <w:rsid w:val="00DE6231"/>
    <w:rsid w:val="00E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9955"/>
  <w15:chartTrackingRefBased/>
  <w15:docId w15:val="{F43D14A7-F6D1-4568-BECF-484B33EB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153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D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Jarmo.J</dc:creator>
  <cp:keywords/>
  <dc:description/>
  <cp:lastModifiedBy>Jarmo.Jaaskelainen</cp:lastModifiedBy>
  <cp:revision>6</cp:revision>
  <dcterms:created xsi:type="dcterms:W3CDTF">2020-01-09T07:27:00Z</dcterms:created>
  <dcterms:modified xsi:type="dcterms:W3CDTF">2020-01-27T10:04:00Z</dcterms:modified>
</cp:coreProperties>
</file>