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hAnsi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hAnsi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Neulepallo norjalaiset Arne ja Carlos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https://prym.fi/tuote/neulotut-joulupallot-by-arne-ja-carlos/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Perinteinen joulusyd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>n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https://fi.pinterest.com/pin/186899453256806349/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https://www.origami-resource-center.com/basket2.html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>hti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https://yle.fi/aihe/artikkeli/2014/12/19/virkkaa-tahtia-ja-tee-niista-koristekoynnoksia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Lumihiutale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http://omakoppa.blogspot.com/2011/11/virkattu-lumihiutale-ohje.html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Virkattu pallo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https://www.tekstiiliteollisuus.fi/naytaohje.php?tuoteid=1588&amp;kieli=1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Lankatonttu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https://www.slojd-detaljer.fi/inspiraatiota/jouluksi/lankatonttu/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Lankaenkeli</w:t>
      </w:r>
    </w:p>
    <w:p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4"/>
          <w:szCs w:val="24"/>
          <w:rtl w:val="0"/>
        </w:rPr>
        <w:t>http://satu-ja-tarinoita.blogspot.com/2010/11/valkoista-ja-huopaa.html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