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9C5" w:rsidRDefault="004209C5" w:rsidP="00890056">
      <w:pPr>
        <w:jc w:val="center"/>
        <w:rPr>
          <w:b/>
          <w:sz w:val="28"/>
          <w:szCs w:val="28"/>
          <w:u w:val="single"/>
        </w:rPr>
      </w:pPr>
      <w:r w:rsidRPr="004209C5">
        <w:rPr>
          <w:b/>
          <w:sz w:val="28"/>
          <w:szCs w:val="28"/>
          <w:u w:val="single"/>
        </w:rPr>
        <w:t>Ohmin laki –työ (Fysiikka 8.lk, Sähköoppi)</w:t>
      </w:r>
    </w:p>
    <w:p w:rsidR="00890056" w:rsidRPr="006C60EE" w:rsidRDefault="00890056" w:rsidP="00890056">
      <w:pPr>
        <w:jc w:val="center"/>
        <w:rPr>
          <w:b/>
          <w:sz w:val="16"/>
          <w:szCs w:val="16"/>
          <w:u w:val="single"/>
        </w:rPr>
      </w:pPr>
    </w:p>
    <w:p w:rsidR="004209C5" w:rsidRPr="004209C5" w:rsidRDefault="004209C5" w:rsidP="004209C5">
      <w:pPr>
        <w:rPr>
          <w:sz w:val="28"/>
          <w:szCs w:val="28"/>
          <w:u w:val="single"/>
        </w:rPr>
      </w:pPr>
      <w:r w:rsidRPr="004209C5">
        <w:rPr>
          <w:sz w:val="28"/>
          <w:szCs w:val="28"/>
          <w:u w:val="single"/>
        </w:rPr>
        <w:t>Välineet:</w:t>
      </w:r>
    </w:p>
    <w:p w:rsidR="004209C5" w:rsidRDefault="004209C5" w:rsidP="004209C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sähköopin työsarja laatikossa</w:t>
      </w:r>
      <w:r w:rsidR="006C60EE">
        <w:rPr>
          <w:sz w:val="28"/>
          <w:szCs w:val="28"/>
        </w:rPr>
        <w:t xml:space="preserve"> (vastukset)</w:t>
      </w:r>
    </w:p>
    <w:p w:rsidR="004209C5" w:rsidRDefault="004209C5" w:rsidP="004209C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säädettävä</w:t>
      </w:r>
      <w:r w:rsidR="00890056">
        <w:rPr>
          <w:sz w:val="28"/>
          <w:szCs w:val="28"/>
        </w:rPr>
        <w:t xml:space="preserve"> virtalähde (</w:t>
      </w:r>
      <w:r w:rsidR="00675377">
        <w:rPr>
          <w:sz w:val="28"/>
          <w:szCs w:val="28"/>
        </w:rPr>
        <w:t>tasavirtaa DC</w:t>
      </w:r>
      <w:r w:rsidR="006C60EE">
        <w:rPr>
          <w:sz w:val="28"/>
          <w:szCs w:val="28"/>
        </w:rPr>
        <w:t xml:space="preserve">, </w:t>
      </w:r>
      <w:r w:rsidR="006C60EE" w:rsidRPr="006C60EE">
        <w:rPr>
          <w:b/>
          <w:sz w:val="28"/>
          <w:szCs w:val="28"/>
        </w:rPr>
        <w:t>työssä käytettävä jännitealue</w:t>
      </w:r>
      <w:r w:rsidR="00890056" w:rsidRPr="006C60EE">
        <w:rPr>
          <w:b/>
          <w:sz w:val="28"/>
          <w:szCs w:val="28"/>
        </w:rPr>
        <w:t xml:space="preserve"> 0-6V</w:t>
      </w:r>
      <w:r w:rsidR="006C60EE">
        <w:rPr>
          <w:sz w:val="28"/>
          <w:szCs w:val="28"/>
        </w:rPr>
        <w:t>)</w:t>
      </w:r>
    </w:p>
    <w:p w:rsidR="004209C5" w:rsidRDefault="004209C5" w:rsidP="004209C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johtimia</w:t>
      </w:r>
    </w:p>
    <w:p w:rsidR="004209C5" w:rsidRPr="00890056" w:rsidRDefault="004209C5" w:rsidP="004209C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virta- j</w:t>
      </w:r>
      <w:r w:rsidR="006C60EE">
        <w:rPr>
          <w:sz w:val="28"/>
          <w:szCs w:val="28"/>
        </w:rPr>
        <w:t>a jännitemittari (analoginen malli</w:t>
      </w:r>
      <w:r>
        <w:rPr>
          <w:sz w:val="28"/>
          <w:szCs w:val="28"/>
        </w:rPr>
        <w:t>)</w:t>
      </w:r>
    </w:p>
    <w:p w:rsidR="004209C5" w:rsidRPr="00890056" w:rsidRDefault="004209C5" w:rsidP="004209C5">
      <w:pPr>
        <w:rPr>
          <w:sz w:val="28"/>
          <w:szCs w:val="28"/>
          <w:u w:val="single"/>
        </w:rPr>
      </w:pPr>
      <w:r w:rsidRPr="004209C5">
        <w:rPr>
          <w:sz w:val="28"/>
          <w:szCs w:val="28"/>
          <w:u w:val="single"/>
        </w:rPr>
        <w:t>S</w:t>
      </w:r>
      <w:r w:rsidR="00890056">
        <w:rPr>
          <w:sz w:val="28"/>
          <w:szCs w:val="28"/>
          <w:u w:val="single"/>
        </w:rPr>
        <w:t>uoritus:</w:t>
      </w:r>
    </w:p>
    <w:p w:rsidR="00890056" w:rsidRDefault="004209C5" w:rsidP="004209C5">
      <w:pPr>
        <w:rPr>
          <w:sz w:val="28"/>
          <w:szCs w:val="28"/>
        </w:rPr>
      </w:pPr>
      <w:r>
        <w:rPr>
          <w:sz w:val="28"/>
          <w:szCs w:val="28"/>
        </w:rPr>
        <w:t>Rakenna s</w:t>
      </w:r>
      <w:r w:rsidR="00890056">
        <w:rPr>
          <w:sz w:val="28"/>
          <w:szCs w:val="28"/>
        </w:rPr>
        <w:t>euraava kytkentä ja mittaa vastuksen yli kulkeva jännite sekä sähkövirta.</w:t>
      </w:r>
      <w:r w:rsidR="006C60EE">
        <w:rPr>
          <w:sz w:val="28"/>
          <w:szCs w:val="28"/>
        </w:rPr>
        <w:t xml:space="preserve"> Tämä kannattaa tehdä ainakin kahdelle eri jännitteelle per vastus.</w:t>
      </w:r>
    </w:p>
    <w:p w:rsidR="00890056" w:rsidRDefault="00DF4C0C" w:rsidP="004209C5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.5pt;height:141.5pt">
            <v:imagedata r:id="rId6" o:title="ohmikuva"/>
          </v:shape>
        </w:pict>
      </w:r>
    </w:p>
    <w:p w:rsidR="00890056" w:rsidRDefault="00890056" w:rsidP="004209C5">
      <w:pPr>
        <w:rPr>
          <w:sz w:val="28"/>
          <w:szCs w:val="28"/>
        </w:rPr>
      </w:pPr>
      <w:r>
        <w:rPr>
          <w:sz w:val="28"/>
          <w:szCs w:val="28"/>
        </w:rPr>
        <w:t>Työsarjassa on kolme v</w:t>
      </w:r>
      <w:r w:rsidR="00704A33">
        <w:rPr>
          <w:sz w:val="28"/>
          <w:szCs w:val="28"/>
        </w:rPr>
        <w:t>astusta, jotka merkattu</w:t>
      </w:r>
      <w:r w:rsidR="006C60EE">
        <w:rPr>
          <w:sz w:val="28"/>
          <w:szCs w:val="28"/>
        </w:rPr>
        <w:t xml:space="preserve"> numeroin</w:t>
      </w:r>
      <w:r w:rsidR="00704A33">
        <w:rPr>
          <w:sz w:val="28"/>
          <w:szCs w:val="28"/>
        </w:rPr>
        <w:t xml:space="preserve"> 1, 2 ja 3</w:t>
      </w:r>
      <w:r>
        <w:rPr>
          <w:sz w:val="28"/>
          <w:szCs w:val="28"/>
        </w:rPr>
        <w:t>. Toista mittaukset kaikille kolmelle vastukselle. Voit merkata tulokset esimerkiksi taulukkoon: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197"/>
        <w:gridCol w:w="3197"/>
        <w:gridCol w:w="3197"/>
      </w:tblGrid>
      <w:tr w:rsidR="00890056" w:rsidTr="006C60EE">
        <w:trPr>
          <w:trHeight w:val="477"/>
        </w:trPr>
        <w:tc>
          <w:tcPr>
            <w:tcW w:w="3197" w:type="dxa"/>
          </w:tcPr>
          <w:p w:rsidR="00890056" w:rsidRPr="00890056" w:rsidRDefault="00890056" w:rsidP="004209C5">
            <w:pPr>
              <w:rPr>
                <w:b/>
                <w:sz w:val="28"/>
                <w:szCs w:val="28"/>
              </w:rPr>
            </w:pPr>
            <w:r w:rsidRPr="00890056">
              <w:rPr>
                <w:b/>
                <w:sz w:val="28"/>
                <w:szCs w:val="28"/>
              </w:rPr>
              <w:t>Vastus</w:t>
            </w:r>
          </w:p>
        </w:tc>
        <w:tc>
          <w:tcPr>
            <w:tcW w:w="3197" w:type="dxa"/>
          </w:tcPr>
          <w:p w:rsidR="00890056" w:rsidRPr="00890056" w:rsidRDefault="00890056" w:rsidP="004209C5">
            <w:pPr>
              <w:rPr>
                <w:b/>
                <w:sz w:val="28"/>
                <w:szCs w:val="28"/>
              </w:rPr>
            </w:pPr>
            <w:r w:rsidRPr="00890056">
              <w:rPr>
                <w:b/>
                <w:sz w:val="28"/>
                <w:szCs w:val="28"/>
              </w:rPr>
              <w:t>Jännite (V)</w:t>
            </w:r>
          </w:p>
        </w:tc>
        <w:tc>
          <w:tcPr>
            <w:tcW w:w="3197" w:type="dxa"/>
          </w:tcPr>
          <w:p w:rsidR="00890056" w:rsidRPr="00890056" w:rsidRDefault="00890056" w:rsidP="004209C5">
            <w:pPr>
              <w:rPr>
                <w:b/>
                <w:sz w:val="28"/>
                <w:szCs w:val="28"/>
              </w:rPr>
            </w:pPr>
            <w:r w:rsidRPr="00890056">
              <w:rPr>
                <w:b/>
                <w:sz w:val="28"/>
                <w:szCs w:val="28"/>
              </w:rPr>
              <w:t>Sähkövirta (A)</w:t>
            </w:r>
          </w:p>
        </w:tc>
      </w:tr>
      <w:tr w:rsidR="00890056" w:rsidTr="006C60EE">
        <w:trPr>
          <w:trHeight w:val="477"/>
        </w:trPr>
        <w:tc>
          <w:tcPr>
            <w:tcW w:w="3197" w:type="dxa"/>
          </w:tcPr>
          <w:p w:rsidR="00890056" w:rsidRDefault="00704A33" w:rsidP="00420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6C60EE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3197" w:type="dxa"/>
          </w:tcPr>
          <w:p w:rsidR="00890056" w:rsidRP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C60EE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</w:t>
            </w:r>
          </w:p>
          <w:p w:rsidR="006C60EE" w:rsidRP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3197" w:type="dxa"/>
          </w:tcPr>
          <w:p w:rsidR="00890056" w:rsidRPr="006C60EE" w:rsidRDefault="006C60EE" w:rsidP="00420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6C60EE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</w:t>
            </w:r>
          </w:p>
          <w:p w:rsidR="006C60EE" w:rsidRPr="006C60EE" w:rsidRDefault="006C60EE" w:rsidP="004209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</w:t>
            </w:r>
          </w:p>
        </w:tc>
      </w:tr>
      <w:tr w:rsidR="006C60EE" w:rsidTr="006C60EE">
        <w:trPr>
          <w:trHeight w:val="477"/>
        </w:trPr>
        <w:tc>
          <w:tcPr>
            <w:tcW w:w="3197" w:type="dxa"/>
          </w:tcPr>
          <w:p w:rsid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6C60EE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3197" w:type="dxa"/>
          </w:tcPr>
          <w:p w:rsidR="006C60EE" w:rsidRP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C60EE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</w:t>
            </w:r>
          </w:p>
          <w:p w:rsidR="006C60EE" w:rsidRP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3197" w:type="dxa"/>
          </w:tcPr>
          <w:p w:rsidR="006C60EE" w:rsidRP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6C60EE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</w:t>
            </w:r>
          </w:p>
          <w:p w:rsid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</w:t>
            </w:r>
          </w:p>
        </w:tc>
      </w:tr>
      <w:tr w:rsidR="006C60EE" w:rsidTr="006C60EE">
        <w:trPr>
          <w:trHeight w:val="477"/>
        </w:trPr>
        <w:tc>
          <w:tcPr>
            <w:tcW w:w="3197" w:type="dxa"/>
          </w:tcPr>
          <w:p w:rsid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6C60EE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3197" w:type="dxa"/>
          </w:tcPr>
          <w:p w:rsidR="006C60EE" w:rsidRP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6C60EE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</w:t>
            </w:r>
          </w:p>
          <w:p w:rsidR="006C60EE" w:rsidRP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</w:t>
            </w:r>
          </w:p>
        </w:tc>
        <w:tc>
          <w:tcPr>
            <w:tcW w:w="3197" w:type="dxa"/>
          </w:tcPr>
          <w:p w:rsidR="006C60EE" w:rsidRP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 w:rsidRPr="006C60EE">
              <w:rPr>
                <w:sz w:val="28"/>
                <w:szCs w:val="28"/>
                <w:vertAlign w:val="subscript"/>
              </w:rPr>
              <w:t>1</w:t>
            </w:r>
            <w:r>
              <w:rPr>
                <w:sz w:val="28"/>
                <w:szCs w:val="28"/>
              </w:rPr>
              <w:t xml:space="preserve"> =</w:t>
            </w:r>
          </w:p>
          <w:p w:rsidR="006C60EE" w:rsidRDefault="006C60EE" w:rsidP="006C60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vertAlign w:val="subscript"/>
              </w:rPr>
              <w:t>2</w:t>
            </w:r>
            <w:r>
              <w:rPr>
                <w:sz w:val="28"/>
                <w:szCs w:val="28"/>
              </w:rPr>
              <w:t xml:space="preserve"> =</w:t>
            </w:r>
          </w:p>
        </w:tc>
      </w:tr>
    </w:tbl>
    <w:p w:rsidR="00890056" w:rsidRDefault="00890056" w:rsidP="004209C5">
      <w:pPr>
        <w:rPr>
          <w:sz w:val="28"/>
          <w:szCs w:val="28"/>
        </w:rPr>
      </w:pPr>
    </w:p>
    <w:p w:rsidR="00791BD2" w:rsidRDefault="00890056" w:rsidP="004209C5">
      <w:pPr>
        <w:rPr>
          <w:sz w:val="28"/>
          <w:szCs w:val="28"/>
        </w:rPr>
      </w:pPr>
      <w:r>
        <w:rPr>
          <w:sz w:val="28"/>
          <w:szCs w:val="28"/>
        </w:rPr>
        <w:t xml:space="preserve">Laadi työstä </w:t>
      </w:r>
      <w:r w:rsidRPr="00704A33">
        <w:rPr>
          <w:b/>
          <w:sz w:val="28"/>
          <w:szCs w:val="28"/>
          <w:u w:val="single"/>
        </w:rPr>
        <w:t>työselostus.</w:t>
      </w:r>
      <w:r w:rsidR="00704A33">
        <w:rPr>
          <w:sz w:val="28"/>
          <w:szCs w:val="28"/>
        </w:rPr>
        <w:t xml:space="preserve"> Keskity erityisesti kysymyksiin:</w:t>
      </w:r>
      <w:r w:rsidR="00692720">
        <w:rPr>
          <w:sz w:val="28"/>
          <w:szCs w:val="28"/>
        </w:rPr>
        <w:t xml:space="preserve"> Miksi jännite ja/tai virta muuttuvat eri vastuksille? Mikä on ilmiön nimi? Miten selität ilmiön? Mitä jännitteen ja sähköv</w:t>
      </w:r>
      <w:r w:rsidR="00704A33">
        <w:rPr>
          <w:sz w:val="28"/>
          <w:szCs w:val="28"/>
        </w:rPr>
        <w:t>irran suuruudesta voi päätellä?</w:t>
      </w:r>
      <w:r w:rsidR="00DF4C0C">
        <w:rPr>
          <w:sz w:val="28"/>
          <w:szCs w:val="28"/>
        </w:rPr>
        <w:t xml:space="preserve"> Kokeile sopivilla jännitteen arvoilla m</w:t>
      </w:r>
      <w:r w:rsidR="00945D4D">
        <w:rPr>
          <w:sz w:val="28"/>
          <w:szCs w:val="28"/>
        </w:rPr>
        <w:t>itä virralle tapahtuu</w:t>
      </w:r>
      <w:r w:rsidR="00DF4C0C">
        <w:rPr>
          <w:sz w:val="28"/>
          <w:szCs w:val="28"/>
        </w:rPr>
        <w:t>,</w:t>
      </w:r>
      <w:r w:rsidR="00945D4D">
        <w:rPr>
          <w:sz w:val="28"/>
          <w:szCs w:val="28"/>
        </w:rPr>
        <w:t xml:space="preserve"> jos jännite kaksinkertaistetaan</w:t>
      </w:r>
      <w:r w:rsidR="00DF4C0C">
        <w:rPr>
          <w:sz w:val="28"/>
          <w:szCs w:val="28"/>
        </w:rPr>
        <w:t xml:space="preserve">? </w:t>
      </w:r>
      <w:r w:rsidR="00692720">
        <w:rPr>
          <w:sz w:val="28"/>
          <w:szCs w:val="28"/>
        </w:rPr>
        <w:t>Käytä (ainakin) oppikirjan kappaletta 28 ja internetin tietolähteitä.</w:t>
      </w:r>
      <w:r w:rsidR="00704A33">
        <w:rPr>
          <w:sz w:val="28"/>
          <w:szCs w:val="28"/>
        </w:rPr>
        <w:t xml:space="preserve"> Muista myös virheanalyysi!</w:t>
      </w:r>
    </w:p>
    <w:p w:rsidR="00791BD2" w:rsidRPr="004209C5" w:rsidRDefault="00791BD2" w:rsidP="004209C5">
      <w:pPr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963"/>
      </w:tblGrid>
      <w:tr w:rsidR="00791BD2" w:rsidTr="006C00DA">
        <w:trPr>
          <w:trHeight w:val="1134"/>
        </w:trPr>
        <w:tc>
          <w:tcPr>
            <w:tcW w:w="9628" w:type="dxa"/>
            <w:gridSpan w:val="3"/>
            <w:vAlign w:val="center"/>
          </w:tcPr>
          <w:p w:rsidR="00791BD2" w:rsidRDefault="00791BD2" w:rsidP="006C00DA">
            <w:pPr>
              <w:spacing w:line="276" w:lineRule="auto"/>
            </w:pPr>
            <w:bookmarkStart w:id="0" w:name="_GoBack"/>
            <w:bookmarkEnd w:id="0"/>
            <w:r>
              <w:lastRenderedPageBreak/>
              <w:t>Arvioijan nimi:</w:t>
            </w:r>
          </w:p>
          <w:p w:rsidR="00791BD2" w:rsidRDefault="00791BD2" w:rsidP="006C00DA">
            <w:pPr>
              <w:spacing w:line="276" w:lineRule="auto"/>
            </w:pPr>
          </w:p>
          <w:p w:rsidR="00791BD2" w:rsidRDefault="00791BD2" w:rsidP="006C00DA">
            <w:pPr>
              <w:spacing w:line="276" w:lineRule="auto"/>
            </w:pPr>
            <w:r>
              <w:t>Arvioitavien nimet:</w:t>
            </w:r>
          </w:p>
        </w:tc>
      </w:tr>
      <w:tr w:rsidR="00791BD2" w:rsidTr="006C00DA">
        <w:trPr>
          <w:trHeight w:val="509"/>
        </w:trPr>
        <w:tc>
          <w:tcPr>
            <w:tcW w:w="4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1BD2" w:rsidRDefault="00791BD2" w:rsidP="006C00DA">
            <w:pPr>
              <w:spacing w:line="276" w:lineRule="auto"/>
            </w:pPr>
            <w:r>
              <w:t>arviointikriteeri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1BD2" w:rsidRDefault="00791BD2" w:rsidP="006C00DA">
            <w:pPr>
              <w:spacing w:line="276" w:lineRule="auto"/>
            </w:pPr>
            <w:r>
              <w:t>pistettä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91BD2" w:rsidRDefault="00791BD2" w:rsidP="006C00DA">
            <w:pPr>
              <w:spacing w:line="276" w:lineRule="auto"/>
            </w:pPr>
            <w:r>
              <w:t>kommentti</w:t>
            </w:r>
          </w:p>
        </w:tc>
      </w:tr>
      <w:tr w:rsidR="00791BD2" w:rsidTr="006C00DA">
        <w:trPr>
          <w:trHeight w:val="853"/>
        </w:trPr>
        <w:tc>
          <w:tcPr>
            <w:tcW w:w="4106" w:type="dxa"/>
            <w:tcBorders>
              <w:top w:val="single" w:sz="12" w:space="0" w:color="auto"/>
            </w:tcBorders>
            <w:vAlign w:val="center"/>
          </w:tcPr>
          <w:p w:rsidR="00791BD2" w:rsidRDefault="00791BD2" w:rsidP="006C00DA">
            <w:pPr>
              <w:spacing w:line="276" w:lineRule="auto"/>
            </w:pPr>
            <w:r>
              <w:t>Työn kulku on selostettu selkeästi. Työn idean ymmärtää, vaikka ei lukisi työohjetta.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  <w:tcBorders>
              <w:top w:val="single" w:sz="12" w:space="0" w:color="auto"/>
            </w:tcBorders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688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Käytetyt välineet on listattu selkeästi.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861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Tutkittava ilmiö on esitelty (resistanssi).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823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Tutkimuksen teoreettiset lähtökohdat on esitelty.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849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Virtapiiri on osattu kasata oikein ja siitä on otettu valokuva.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833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Mittaustulokset on esitetty selkeästi ja niissä on perässä yksiköt.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831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On osattu laskea vastusten resistanssi.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843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Resistanssin yksikkö on oikein.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841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On kerrottu vastuksesta komponenttina (toiminta, käyttö, tarkkuus jne.).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1219"/>
        </w:trPr>
        <w:tc>
          <w:tcPr>
            <w:tcW w:w="4106" w:type="dxa"/>
            <w:vAlign w:val="center"/>
          </w:tcPr>
          <w:p w:rsidR="00791BD2" w:rsidRDefault="00791BD2" w:rsidP="006C00DA">
            <w:pPr>
              <w:spacing w:line="276" w:lineRule="auto"/>
            </w:pPr>
            <w:r>
              <w:t>Virheanalyysissä on pohdittu ja perusteltu sitä, oliko tulos hyvä tai mistä mahdolliset virheet johtuivat.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  <w:tr w:rsidR="00791BD2" w:rsidTr="006C00DA">
        <w:trPr>
          <w:trHeight w:val="425"/>
        </w:trPr>
        <w:tc>
          <w:tcPr>
            <w:tcW w:w="4106" w:type="dxa"/>
            <w:vAlign w:val="center"/>
          </w:tcPr>
          <w:p w:rsidR="00791BD2" w:rsidRPr="00AD3057" w:rsidRDefault="00791BD2" w:rsidP="006C00DA">
            <w:pPr>
              <w:spacing w:line="276" w:lineRule="auto"/>
              <w:jc w:val="right"/>
              <w:rPr>
                <w:b/>
              </w:rPr>
            </w:pPr>
            <w:r w:rsidRPr="00AD3057">
              <w:rPr>
                <w:b/>
              </w:rPr>
              <w:t>yhteensä</w:t>
            </w:r>
          </w:p>
        </w:tc>
        <w:tc>
          <w:tcPr>
            <w:tcW w:w="1559" w:type="dxa"/>
            <w:vAlign w:val="center"/>
          </w:tcPr>
          <w:p w:rsidR="00791BD2" w:rsidRDefault="00791BD2" w:rsidP="006C00DA">
            <w:pPr>
              <w:spacing w:line="276" w:lineRule="auto"/>
              <w:jc w:val="center"/>
            </w:pPr>
            <w:r>
              <w:t>/ 10 p.</w:t>
            </w:r>
          </w:p>
        </w:tc>
        <w:tc>
          <w:tcPr>
            <w:tcW w:w="3963" w:type="dxa"/>
          </w:tcPr>
          <w:p w:rsidR="00791BD2" w:rsidRDefault="00791BD2" w:rsidP="006C00DA">
            <w:pPr>
              <w:spacing w:line="276" w:lineRule="auto"/>
            </w:pPr>
          </w:p>
        </w:tc>
      </w:tr>
    </w:tbl>
    <w:p w:rsidR="00791BD2" w:rsidRDefault="00791BD2" w:rsidP="00791BD2">
      <w:pPr>
        <w:spacing w:line="276" w:lineRule="auto"/>
      </w:pPr>
    </w:p>
    <w:p w:rsidR="00692720" w:rsidRPr="004209C5" w:rsidRDefault="00692720" w:rsidP="004209C5">
      <w:pPr>
        <w:rPr>
          <w:sz w:val="28"/>
          <w:szCs w:val="28"/>
        </w:rPr>
      </w:pPr>
    </w:p>
    <w:sectPr w:rsidR="00692720" w:rsidRPr="004209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93BFE"/>
    <w:multiLevelType w:val="hybridMultilevel"/>
    <w:tmpl w:val="5CC088DA"/>
    <w:lvl w:ilvl="0" w:tplc="0F7452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5A"/>
    <w:rsid w:val="004209C5"/>
    <w:rsid w:val="00675377"/>
    <w:rsid w:val="00692720"/>
    <w:rsid w:val="006B5978"/>
    <w:rsid w:val="006C60EE"/>
    <w:rsid w:val="00704A33"/>
    <w:rsid w:val="00791BD2"/>
    <w:rsid w:val="00890056"/>
    <w:rsid w:val="00945D4D"/>
    <w:rsid w:val="00A90E45"/>
    <w:rsid w:val="00AC235A"/>
    <w:rsid w:val="00D36637"/>
    <w:rsid w:val="00DF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13C44D"/>
  <w15:chartTrackingRefBased/>
  <w15:docId w15:val="{B228A976-11A8-434A-A4F9-0FB38C3A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AC2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C2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235A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4209C5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890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1C5D-A4FD-4D6E-AE19-2C77AFDC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211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Jääskeläinen Jarmo.J</dc:creator>
  <cp:keywords/>
  <dc:description/>
  <cp:lastModifiedBy>Jääskeläinen Jarmo.J</cp:lastModifiedBy>
  <cp:revision>10</cp:revision>
  <cp:lastPrinted>2018-10-22T10:29:00Z</cp:lastPrinted>
  <dcterms:created xsi:type="dcterms:W3CDTF">2018-10-22T11:36:00Z</dcterms:created>
  <dcterms:modified xsi:type="dcterms:W3CDTF">2018-11-01T06:46:00Z</dcterms:modified>
</cp:coreProperties>
</file>