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E8" w:rsidRDefault="00B7634A">
      <w:pPr>
        <w:pStyle w:val="Otsikko5"/>
        <w:ind w:left="-5"/>
      </w:pPr>
      <w:r>
        <w:t>Vieras kieli/saamen kieli, A1-oppimäärä vuosiluokilla 1–2</w:t>
      </w:r>
    </w:p>
    <w:p w:rsidR="00430AE8" w:rsidRDefault="00B7634A">
      <w:pPr>
        <w:pStyle w:val="Otsikko6"/>
        <w:ind w:left="-4"/>
      </w:pPr>
      <w:r>
        <w:t xml:space="preserve">VIERAAN KIELEN/SAAMEN KIELEN A1-OPPIMÄÄRÄN OPETUKSEN TAVOITTEET VUOSILUOKILLA 1–2 </w:t>
      </w:r>
    </w:p>
    <w:tbl>
      <w:tblPr>
        <w:tblStyle w:val="TableGrid"/>
        <w:tblW w:w="7313" w:type="dxa"/>
        <w:tblInd w:w="0" w:type="dxa"/>
        <w:tblCellMar>
          <w:top w:w="41" w:type="dxa"/>
          <w:right w:w="55" w:type="dxa"/>
        </w:tblCellMar>
        <w:tblLook w:val="04A0" w:firstRow="1" w:lastRow="0" w:firstColumn="1" w:lastColumn="0" w:noHBand="0" w:noVBand="1"/>
      </w:tblPr>
      <w:tblGrid>
        <w:gridCol w:w="1899"/>
        <w:gridCol w:w="1814"/>
        <w:gridCol w:w="2494"/>
        <w:gridCol w:w="1106"/>
      </w:tblGrid>
      <w:tr w:rsidR="00430AE8">
        <w:trPr>
          <w:trHeight w:val="692"/>
        </w:trPr>
        <w:tc>
          <w:tcPr>
            <w:tcW w:w="6208"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Kasvu kulttuuriseen moninaisuuteen ja kielitietoisuuteen</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T1 tutustutaan, mitä kieliä ja kulttuureita koulussa, lähiympäristössä ja Suomessa on. Ohjata oppilasta tunnistamaan kohdekieli muista kielistä.</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tiedostamaan kielellistä ja kulttuurista moninaisuutta arjessaan sekä tunnistamaan kohdekielen muista osaamistaan kielistä.</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11" w:firstLine="0"/>
            </w:pPr>
            <w:r>
              <w:rPr>
                <w:color w:val="004993"/>
                <w:sz w:val="16"/>
              </w:rPr>
              <w:t>S1 Pohditaan yhdessä, mitä kieliä koulussa, lähiympäristössä ja Suomessa puhutaan ja tutustutaan niissä esiintyviin kulttuureihin. Keskustellaan eri kielten yhtäläisyyksistä ja eroista.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L5, L7</w:t>
            </w:r>
          </w:p>
        </w:tc>
      </w:tr>
      <w:tr w:rsidR="00430AE8">
        <w:trPr>
          <w:trHeight w:val="1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T2 ohjata oppilasta arvostamaan omaa kielitaustaansa sekä kielellistä ja kulttuurista moninaisuutta</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right="40" w:firstLine="0"/>
            </w:pPr>
            <w:r>
              <w:rPr>
                <w:color w:val="004993"/>
                <w:sz w:val="16"/>
              </w:rPr>
              <w:t>Oppilas oppii arvostamaan omaa kielitaustaansa sekä eri kieliä ja kulttuureja.</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S1 Pohditaan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w:t>
            </w:r>
          </w:p>
        </w:tc>
      </w:tr>
      <w:tr w:rsidR="00430AE8">
        <w:trPr>
          <w:trHeight w:val="292"/>
        </w:trPr>
        <w:tc>
          <w:tcPr>
            <w:tcW w:w="1899" w:type="dxa"/>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0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101" w:firstLine="0"/>
            </w:pPr>
            <w:r>
              <w:rPr>
                <w:color w:val="004993"/>
                <w:sz w:val="16"/>
              </w:rPr>
              <w:t>T3 tarjota oppilaalle mahdollisuuksia tehdä yhteistyötä muiden kanssa ja toimia ryhmässä</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S2 Harjoitellaan tekemään yhteistyötä ja työskentelemään pareittain ja ryhmissä.</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L6</w:t>
            </w: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 xml:space="preserve">T4 ohjata oppilasta tekemään havaintoja kielestä ja kielenkäytöstä sekä kehittämään kielellistä päättelykykyä </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arvaamaan ja päättelemään sanojen ja ilmausten merkityksiä sekä tekemään havaintoja kielestä ja kielenkäytöstä.</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 xml:space="preserve">S2 Havainnoidaan pääsääntöisesti puhuttua kieltä. Harjoitellaan sanojen merkitysten päättelyä asiayhteyden, yleistiedon tai muiden kielten osaamisen perusteella.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L4, L5</w:t>
            </w:r>
          </w:p>
        </w:tc>
      </w:tr>
      <w:tr w:rsidR="00430AE8">
        <w:trPr>
          <w:trHeight w:val="20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52" w:firstLine="0"/>
            </w:pPr>
            <w:r>
              <w:rPr>
                <w:color w:val="004993"/>
                <w:sz w:val="16"/>
              </w:rPr>
              <w:t>T5 tutustutaan yhdessä erilaisiin tapoihin oppia kieliä ja kokeillaan, millaiset tavat oppia kieliä sopivat oppilaalle parhaiten. Harjoitellaan yhdessä asettamaan tavoitteita kielten opiskelulle.</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tunnistamaan, kokeilemaan, harjoittelemaan ja käyttämään erilaisia kielenopiskelutaitoja.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28" w:firstLine="0"/>
            </w:pPr>
            <w:r>
              <w:rPr>
                <w:color w:val="004993"/>
                <w:sz w:val="16"/>
              </w:rPr>
              <w:t>S2 Pohditaan, miten kieliä opitaan ja miten kieliä voi oppia. Harjoitellaan erilaisia tapoja opiskella kieltä. Harjoitellaan arvioimaan omaa kielitaitoa itse- ja vertaisarvioinnin keinoin käyttämällä esimerkiksi Eurooppalaista kielisalkkua.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L7</w:t>
            </w:r>
          </w:p>
        </w:tc>
      </w:tr>
    </w:tbl>
    <w:p w:rsidR="00430AE8" w:rsidRDefault="00430AE8">
      <w:pPr>
        <w:spacing w:after="0" w:line="259" w:lineRule="auto"/>
        <w:ind w:left="-1531" w:right="1551" w:firstLine="0"/>
      </w:pPr>
    </w:p>
    <w:tbl>
      <w:tblPr>
        <w:tblStyle w:val="TableGrid"/>
        <w:tblW w:w="7313" w:type="dxa"/>
        <w:tblInd w:w="0" w:type="dxa"/>
        <w:tblCellMar>
          <w:top w:w="41" w:type="dxa"/>
          <w:right w:w="55" w:type="dxa"/>
        </w:tblCellMar>
        <w:tblLook w:val="04A0" w:firstRow="1" w:lastRow="0" w:firstColumn="1" w:lastColumn="0" w:noHBand="0" w:noVBand="1"/>
      </w:tblPr>
      <w:tblGrid>
        <w:gridCol w:w="1898"/>
        <w:gridCol w:w="1824"/>
        <w:gridCol w:w="2488"/>
        <w:gridCol w:w="1103"/>
      </w:tblGrid>
      <w:tr w:rsidR="00430AE8">
        <w:trPr>
          <w:trHeight w:val="692"/>
        </w:trPr>
        <w:tc>
          <w:tcPr>
            <w:tcW w:w="6208"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lastRenderedPageBreak/>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T6 rohkaista oppilasta käyttämään kieltä monipuolisesti erilaisissa vuorovaikutustilanteissa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käyttämään kieltä viestintäkumppanin tukemana muutamissa yleisimmin toistuvissa viestintätilanteissa.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4" w:firstLine="0"/>
            </w:pPr>
            <w:r>
              <w:rPr>
                <w:color w:val="004993"/>
                <w:sz w:val="16"/>
              </w:rPr>
              <w:t xml:space="preserve">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right="42" w:firstLine="0"/>
            </w:pPr>
            <w:r>
              <w:rPr>
                <w:color w:val="004993"/>
                <w:sz w:val="16"/>
              </w:rPr>
              <w:t>L1, L2, L4, L6, L7</w:t>
            </w: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52" w:firstLine="0"/>
            </w:pPr>
            <w:r>
              <w:rPr>
                <w:color w:val="004993"/>
                <w:sz w:val="16"/>
              </w:rPr>
              <w:t>T7 ohjata oppilasta hyödyntämään non-verbaalisia keinoja ja käyttämään erilaisia keinoja päätellä sanojen merkityksiä. Rohkaista oppilasta ilmaisemaan omia oivalluksiaan sekä viestin ymmärtämiseen liittyviä vaikeuksia.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154" w:firstLine="0"/>
            </w:pPr>
            <w:r>
              <w:rPr>
                <w:color w:val="004993"/>
                <w:sz w:val="16"/>
              </w:rPr>
              <w:t>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S3 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60" w:firstLine="0"/>
            </w:pPr>
            <w:r>
              <w:rPr>
                <w:color w:val="004993"/>
                <w:sz w:val="16"/>
              </w:rPr>
              <w:t>T8 rohkaista oppilasta käyttämään kieltä viestintätilanteeseen ja kulttuuriin sopivalla tavalla</w:t>
            </w:r>
          </w:p>
        </w:tc>
        <w:tc>
          <w:tcPr>
            <w:tcW w:w="1814" w:type="dxa"/>
            <w:tcBorders>
              <w:top w:val="single" w:sz="2" w:space="0" w:color="004993"/>
              <w:left w:val="nil"/>
              <w:bottom w:val="single" w:sz="2" w:space="0" w:color="004993"/>
              <w:right w:val="nil"/>
            </w:tcBorders>
          </w:tcPr>
          <w:p w:rsidR="00430AE8" w:rsidRDefault="00B7634A">
            <w:pPr>
              <w:spacing w:after="0" w:line="246" w:lineRule="auto"/>
              <w:ind w:left="0" w:right="26" w:firstLine="0"/>
            </w:pPr>
            <w:r>
              <w:rPr>
                <w:color w:val="004993"/>
                <w:sz w:val="16"/>
              </w:rPr>
              <w:t xml:space="preserve">Oppilas oppii käyttämään joitakin kielelle ja kulttuurille tyypillisiä kohteliaisuuden </w:t>
            </w:r>
          </w:p>
          <w:p w:rsidR="00430AE8" w:rsidRDefault="00B7634A">
            <w:pPr>
              <w:spacing w:after="0" w:line="259" w:lineRule="auto"/>
              <w:ind w:left="0" w:firstLine="0"/>
            </w:pPr>
            <w:r>
              <w:rPr>
                <w:color w:val="004993"/>
                <w:sz w:val="16"/>
              </w:rPr>
              <w:t xml:space="preserve">ilmauksia </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7" w:firstLine="0"/>
            </w:pPr>
            <w:r>
              <w:rPr>
                <w:color w:val="004993"/>
                <w:sz w:val="16"/>
              </w:rPr>
              <w:t>S3 Totutellaan käyttämään kielelle ja kulttuurille tyypillisimpiä kohteliaisuuden ilmauksia arjen vuorovaikutustilanteissa, kuten tervehtiminen, hyvästely, kiittäminen ja avun pyytäminen. Harjoitellaan luontevaa reagointia vuorovaikutustilanteissa.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L2, L4, L6, L7</w:t>
            </w:r>
          </w:p>
        </w:tc>
      </w:tr>
      <w:tr w:rsidR="00430AE8">
        <w:trPr>
          <w:trHeight w:val="692"/>
        </w:trPr>
        <w:tc>
          <w:tcPr>
            <w:tcW w:w="3713" w:type="dxa"/>
            <w:gridSpan w:val="2"/>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hanging="1814"/>
            </w:pPr>
            <w:r>
              <w:rPr>
                <w:color w:val="FFFFFF"/>
                <w:sz w:val="16"/>
              </w:rPr>
              <w:t>Opetuksen tavoitteet</w:t>
            </w:r>
            <w:r>
              <w:rPr>
                <w:color w:val="FFFFFF"/>
                <w:sz w:val="16"/>
              </w:rPr>
              <w:tab/>
              <w:t>Opetuksen tavoitteista johdetut oppimisen tavoitteet</w:t>
            </w:r>
          </w:p>
        </w:tc>
        <w:tc>
          <w:tcPr>
            <w:tcW w:w="2494"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Tavoitteisiin liittyvät sisältöalueet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tulkita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lastRenderedPageBreak/>
              <w:t xml:space="preserve">T9 ohjata oppilasta </w:t>
            </w:r>
          </w:p>
          <w:p w:rsidR="00430AE8" w:rsidRDefault="00B7634A">
            <w:pPr>
              <w:spacing w:after="0" w:line="259" w:lineRule="auto"/>
              <w:ind w:left="85" w:firstLine="0"/>
            </w:pPr>
            <w:r>
              <w:rPr>
                <w:color w:val="004993"/>
                <w:sz w:val="16"/>
              </w:rPr>
              <w:t>ymmärtämään koh-</w:t>
            </w:r>
          </w:p>
          <w:p w:rsidR="00430AE8" w:rsidRDefault="00B7634A">
            <w:pPr>
              <w:spacing w:after="0" w:line="259" w:lineRule="auto"/>
              <w:ind w:left="85" w:firstLine="0"/>
            </w:pPr>
            <w:r>
              <w:rPr>
                <w:color w:val="004993"/>
                <w:sz w:val="16"/>
              </w:rPr>
              <w:t>dekielen tavallisimpia sanoja ja ilmauksia oppilaille tutuissa 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ymmärtämään muutamia kuulemiaan ja näkemiään sanoja ja ilmauksia.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4" w:firstLine="0"/>
            </w:pPr>
            <w:r>
              <w:rPr>
                <w:color w:val="004993"/>
                <w:sz w:val="16"/>
              </w:rPr>
              <w:t xml:space="preserve">S3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T10 ohjata oppilasta käyttämään kohdekielen tavallisimpia sanoja ja ilmauksia oppilaille tutuissa tilanteissa erityisesti puheessa ja harjoittelemaan ääntämistä</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käyttämään tavallisimpia sanoja ja ilmauksia puheessa sekä ääntämään niitä ymmärrettävästi.</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5" w:firstLine="0"/>
            </w:pPr>
            <w:r>
              <w:rPr>
                <w:color w:val="004993"/>
                <w:sz w:val="16"/>
              </w:rPr>
              <w:t>S3 Sisältöjen valinnan lähtökohtana ovat oppilaiden arki ja kiinnostuksen kohteet. Sisältöjä valitaan yhdessä oppilaiden kanssa. Harjoitellaan runsaasti ja monipuolisesti kohdekielen ääntämistä sekä sana- ja lausepainoa, puherytmiä ja intonaatiota. Sanastoa ja rakenteita harjoitellaan osana vuorovaikutusta erilaisissa oppilaille tutuissa tilanteissa sekä esimerkiksi kuvien, laulujen, leikkien, lorujen, tarinoiden, draaman ja pelillistämisen avulla. Tarjotaan mahdollisuuksia tutustua vähitellen kirjoittamiseen.</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bl>
    <w:p w:rsidR="00430AE8" w:rsidRDefault="00B7634A">
      <w:pPr>
        <w:spacing w:after="1"/>
        <w:ind w:left="-5"/>
      </w:pPr>
      <w:r>
        <w:rPr>
          <w:b/>
        </w:rPr>
        <w:t>Vieraan kielen/saamen kielen A1-oppimäärän työtapoihin ja oppimisympäristöihin liittyvät tavoitteet vuosiluokilla 1–2</w:t>
      </w:r>
    </w:p>
    <w:p w:rsidR="00430AE8" w:rsidRDefault="00B7634A">
      <w:pPr>
        <w:ind w:left="-5" w:right="1"/>
      </w:pPr>
      <w: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kohdekielen taitojen oppiminen nivotaan muiden oppiaineiden opetukseen.</w:t>
      </w:r>
    </w:p>
    <w:p w:rsidR="00430AE8" w:rsidRDefault="00B7634A">
      <w:pPr>
        <w:ind w:left="-5" w:right="1"/>
      </w:pPr>
      <w: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kohdekieleen ja oppia sitä myös kirjoitetun kielen kautta. Oppilaita ohjataan pohtimaan kielen oppimistaan esimerkiksi Eurooppalaisen kielisalkun tai vastaavan työvälineen avulla sekä vähitellen ottamaan vastuuta omasta oppimisestaan.</w:t>
      </w:r>
    </w:p>
    <w:p w:rsidR="00430AE8" w:rsidRDefault="00B7634A">
      <w:pPr>
        <w:ind w:left="-5" w:right="1"/>
      </w:pPr>
      <w:r>
        <w:lastRenderedPageBreak/>
        <w:t>Opetuksessa voidaan hyödyntää koko koulua ja koulun lähiympäristöä oppimisympäristöinä. Monikielisyys, kulttuurinen moninaisuus ja kielitietoisuus ovat näkyvissä oppimisympäristöissä. Kohdekieli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kohdekieleen ja kohdekieleen liittyvään kulttuuriin hyödyntämällä erilaisia oppimisympäristöjä sekä mahdollisuuksien mukaan esimerkiksi verkkoyhteyksiä muiden kohdekieltä puhuvien kanssa.</w:t>
      </w:r>
    </w:p>
    <w:p w:rsidR="00430AE8" w:rsidRDefault="00B7634A">
      <w:pPr>
        <w:spacing w:after="1"/>
        <w:ind w:left="-5"/>
      </w:pPr>
      <w:r>
        <w:rPr>
          <w:b/>
        </w:rPr>
        <w:t>Ohjaus, eriyttäminen ja tuki vieraan kielen/saamen kielen A1-oppimäärässä vuosiluokilla 1–2</w:t>
      </w:r>
    </w:p>
    <w:p w:rsidR="00430AE8" w:rsidRDefault="00B7634A">
      <w:pPr>
        <w:ind w:left="-5" w:right="1"/>
      </w:pPr>
      <w: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rsidR="00430AE8" w:rsidRDefault="00B7634A">
      <w:pPr>
        <w:ind w:left="-5" w:right="1"/>
      </w:pPr>
      <w: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kohdekieltä entuudestaan osaaville oppilaille. Oppilaita ohjataan löytämään itselleen sopivaa ja kiinnostavaa oppimista edistävää aineistoa esimerkiksi verkosta tai kirjastosta.</w:t>
      </w:r>
    </w:p>
    <w:p w:rsidR="00430AE8" w:rsidRDefault="00B7634A">
      <w:pPr>
        <w:spacing w:after="1"/>
        <w:ind w:left="-5"/>
      </w:pPr>
      <w:r>
        <w:rPr>
          <w:b/>
        </w:rPr>
        <w:t>Oppilaan oppimisen arviointi vieraan kielen/saamen kielen A1-oppimäärässä vuosiluokilla 1–2</w:t>
      </w:r>
    </w:p>
    <w:p w:rsidR="00430AE8" w:rsidRDefault="00B7634A">
      <w:pPr>
        <w:ind w:left="-5" w:right="1"/>
      </w:pPr>
      <w: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rsidR="00430AE8" w:rsidRDefault="00B7634A" w:rsidP="006771A2">
      <w:pPr>
        <w:ind w:left="-5" w:right="1"/>
      </w:pPr>
      <w:r>
        <w:t>Lukuvuoden päätteeksi A1-kielen sanallista arviota tai arvosanaa antaessaan opettaja arvioi tekemiensä havaintojen perusteella oppilaiden osaamista suhteessa kaikkiin opetussuunnitelman perusteissa oppimiselle asetettuihin tavoitteisiin. Opettajan arvioidessa oppilaan oppimista on huolehdittava siitä, että oppilaat voivat osoittaa osaamistaan eri tavoin.</w:t>
      </w:r>
      <w:bookmarkStart w:id="0" w:name="_GoBack"/>
      <w:bookmarkEnd w:id="0"/>
    </w:p>
    <w:sectPr w:rsidR="00430AE8" w:rsidSect="006771A2">
      <w:footerReference w:type="even" r:id="rId6"/>
      <w:footerReference w:type="default" r:id="rId7"/>
      <w:footerReference w:type="first" r:id="rId8"/>
      <w:pgSz w:w="9978" w:h="14173"/>
      <w:pgMar w:top="926" w:right="1531" w:bottom="1253" w:left="1134" w:header="708" w:footer="5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4A" w:rsidRDefault="00B7634A">
      <w:pPr>
        <w:spacing w:after="0" w:line="240" w:lineRule="auto"/>
      </w:pPr>
      <w:r>
        <w:separator/>
      </w:r>
    </w:p>
  </w:endnote>
  <w:endnote w:type="continuationSeparator" w:id="0">
    <w:p w:rsidR="00B7634A" w:rsidRDefault="00B7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8" w:rsidRDefault="00430AE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8" w:rsidRDefault="00430AE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E8" w:rsidRDefault="00430AE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4A" w:rsidRDefault="00B7634A">
      <w:pPr>
        <w:spacing w:after="0" w:line="240" w:lineRule="auto"/>
      </w:pPr>
      <w:r>
        <w:separator/>
      </w:r>
    </w:p>
  </w:footnote>
  <w:footnote w:type="continuationSeparator" w:id="0">
    <w:p w:rsidR="00B7634A" w:rsidRDefault="00B76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E8"/>
    <w:rsid w:val="00430AE8"/>
    <w:rsid w:val="006771A2"/>
    <w:rsid w:val="00B7634A"/>
    <w:rsid w:val="00E24B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1594"/>
  <w15:docId w15:val="{B0FC7CA4-D13D-4D78-9D39-407D554D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57" w:line="257" w:lineRule="auto"/>
      <w:ind w:left="-296" w:hanging="10"/>
    </w:pPr>
    <w:rPr>
      <w:rFonts w:ascii="Calibri" w:eastAsia="Calibri" w:hAnsi="Calibri" w:cs="Calibri"/>
      <w:color w:val="000000"/>
      <w:sz w:val="20"/>
    </w:rPr>
  </w:style>
  <w:style w:type="paragraph" w:styleId="Otsikko1">
    <w:name w:val="heading 1"/>
    <w:next w:val="Normaali"/>
    <w:link w:val="Otsikko1Char"/>
    <w:uiPriority w:val="9"/>
    <w:qFormat/>
    <w:pPr>
      <w:keepNext/>
      <w:keepLines/>
      <w:spacing w:after="504"/>
      <w:ind w:left="397" w:hanging="10"/>
      <w:outlineLvl w:val="0"/>
    </w:pPr>
    <w:rPr>
      <w:rFonts w:ascii="Calibri" w:eastAsia="Calibri" w:hAnsi="Calibri" w:cs="Calibri"/>
      <w:color w:val="004993"/>
      <w:sz w:val="34"/>
    </w:rPr>
  </w:style>
  <w:style w:type="paragraph" w:styleId="Otsikko2">
    <w:name w:val="heading 2"/>
    <w:next w:val="Normaali"/>
    <w:link w:val="Otsikko2Char"/>
    <w:uiPriority w:val="9"/>
    <w:unhideWhenUsed/>
    <w:qFormat/>
    <w:pPr>
      <w:keepNext/>
      <w:keepLines/>
      <w:spacing w:after="258" w:line="240" w:lineRule="auto"/>
      <w:ind w:left="1415" w:hanging="1030"/>
      <w:outlineLvl w:val="1"/>
    </w:pPr>
    <w:rPr>
      <w:rFonts w:ascii="Calibri" w:eastAsia="Calibri" w:hAnsi="Calibri" w:cs="Calibri"/>
      <w:b/>
      <w:color w:val="004993"/>
      <w:sz w:val="28"/>
    </w:rPr>
  </w:style>
  <w:style w:type="paragraph" w:styleId="Otsikko3">
    <w:name w:val="heading 3"/>
    <w:next w:val="Normaali"/>
    <w:link w:val="Otsikko3Char"/>
    <w:uiPriority w:val="9"/>
    <w:unhideWhenUsed/>
    <w:qFormat/>
    <w:pPr>
      <w:keepNext/>
      <w:keepLines/>
      <w:spacing w:after="205"/>
      <w:ind w:left="395" w:hanging="10"/>
      <w:outlineLvl w:val="2"/>
    </w:pPr>
    <w:rPr>
      <w:rFonts w:ascii="Calibri" w:eastAsia="Calibri" w:hAnsi="Calibri" w:cs="Calibri"/>
      <w:b/>
      <w:color w:val="004993"/>
      <w:sz w:val="24"/>
    </w:rPr>
  </w:style>
  <w:style w:type="paragraph" w:styleId="Otsikko4">
    <w:name w:val="heading 4"/>
    <w:next w:val="Normaali"/>
    <w:link w:val="Otsikko4Char"/>
    <w:uiPriority w:val="9"/>
    <w:unhideWhenUsed/>
    <w:qFormat/>
    <w:pPr>
      <w:keepNext/>
      <w:keepLines/>
      <w:spacing w:after="205"/>
      <w:ind w:left="395" w:hanging="10"/>
      <w:outlineLvl w:val="3"/>
    </w:pPr>
    <w:rPr>
      <w:rFonts w:ascii="Calibri" w:eastAsia="Calibri" w:hAnsi="Calibri" w:cs="Calibri"/>
      <w:b/>
      <w:color w:val="004993"/>
      <w:sz w:val="24"/>
    </w:rPr>
  </w:style>
  <w:style w:type="paragraph" w:styleId="Otsikko5">
    <w:name w:val="heading 5"/>
    <w:next w:val="Normaali"/>
    <w:link w:val="Otsikko5Char"/>
    <w:uiPriority w:val="9"/>
    <w:unhideWhenUsed/>
    <w:qFormat/>
    <w:pPr>
      <w:keepNext/>
      <w:keepLines/>
      <w:spacing w:after="113"/>
      <w:ind w:left="395" w:hanging="10"/>
      <w:outlineLvl w:val="4"/>
    </w:pPr>
    <w:rPr>
      <w:rFonts w:ascii="Calibri" w:eastAsia="Calibri" w:hAnsi="Calibri" w:cs="Calibri"/>
      <w:b/>
      <w:color w:val="004993"/>
    </w:rPr>
  </w:style>
  <w:style w:type="paragraph" w:styleId="Otsikko6">
    <w:name w:val="heading 6"/>
    <w:next w:val="Normaali"/>
    <w:link w:val="Otsikko6Char"/>
    <w:uiPriority w:val="9"/>
    <w:unhideWhenUsed/>
    <w:qFormat/>
    <w:pPr>
      <w:keepNext/>
      <w:keepLines/>
      <w:spacing w:after="0"/>
      <w:ind w:left="11" w:hanging="10"/>
      <w:outlineLvl w:val="5"/>
    </w:pPr>
    <w:rPr>
      <w:rFonts w:ascii="Calibri" w:eastAsia="Calibri" w:hAnsi="Calibri" w:cs="Calibri"/>
      <w:color w:val="004993"/>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6Char">
    <w:name w:val="Otsikko 6 Char"/>
    <w:link w:val="Otsikko6"/>
    <w:rPr>
      <w:rFonts w:ascii="Calibri" w:eastAsia="Calibri" w:hAnsi="Calibri" w:cs="Calibri"/>
      <w:color w:val="004993"/>
      <w:sz w:val="20"/>
    </w:rPr>
  </w:style>
  <w:style w:type="character" w:customStyle="1" w:styleId="Otsikko4Char">
    <w:name w:val="Otsikko 4 Char"/>
    <w:link w:val="Otsikko4"/>
    <w:rPr>
      <w:rFonts w:ascii="Calibri" w:eastAsia="Calibri" w:hAnsi="Calibri" w:cs="Calibri"/>
      <w:b/>
      <w:color w:val="004993"/>
      <w:sz w:val="24"/>
    </w:rPr>
  </w:style>
  <w:style w:type="character" w:customStyle="1" w:styleId="Otsikko2Char">
    <w:name w:val="Otsikko 2 Char"/>
    <w:link w:val="Otsikko2"/>
    <w:rPr>
      <w:rFonts w:ascii="Calibri" w:eastAsia="Calibri" w:hAnsi="Calibri" w:cs="Calibri"/>
      <w:b/>
      <w:color w:val="004993"/>
      <w:sz w:val="28"/>
    </w:rPr>
  </w:style>
  <w:style w:type="character" w:customStyle="1" w:styleId="Otsikko5Char">
    <w:name w:val="Otsikko 5 Char"/>
    <w:link w:val="Otsikko5"/>
    <w:rPr>
      <w:rFonts w:ascii="Calibri" w:eastAsia="Calibri" w:hAnsi="Calibri" w:cs="Calibri"/>
      <w:b/>
      <w:color w:val="004993"/>
      <w:sz w:val="22"/>
    </w:rPr>
  </w:style>
  <w:style w:type="character" w:customStyle="1" w:styleId="Otsikko1Char">
    <w:name w:val="Otsikko 1 Char"/>
    <w:link w:val="Otsikko1"/>
    <w:rPr>
      <w:rFonts w:ascii="Calibri" w:eastAsia="Calibri" w:hAnsi="Calibri" w:cs="Calibri"/>
      <w:color w:val="004993"/>
      <w:sz w:val="34"/>
    </w:rPr>
  </w:style>
  <w:style w:type="character" w:customStyle="1" w:styleId="Otsikko3Char">
    <w:name w:val="Otsikko 3 Char"/>
    <w:link w:val="Otsikko3"/>
    <w:rPr>
      <w:rFonts w:ascii="Calibri" w:eastAsia="Calibri" w:hAnsi="Calibri" w:cs="Calibri"/>
      <w:b/>
      <w:color w:val="004993"/>
      <w:sz w:val="24"/>
    </w:rPr>
  </w:style>
  <w:style w:type="paragraph" w:styleId="Sisluet1">
    <w:name w:val="toc 1"/>
    <w:hidden/>
    <w:pPr>
      <w:spacing w:after="463" w:line="345" w:lineRule="auto"/>
      <w:ind w:left="410" w:right="15" w:hanging="10"/>
    </w:pPr>
    <w:rPr>
      <w:rFonts w:ascii="Calibri" w:eastAsia="Calibri" w:hAnsi="Calibri" w:cs="Calibri"/>
      <w:b/>
      <w:color w:val="004993"/>
      <w:sz w:val="19"/>
    </w:rPr>
  </w:style>
  <w:style w:type="paragraph" w:styleId="Sisluet2">
    <w:name w:val="toc 2"/>
    <w:hidden/>
    <w:pPr>
      <w:spacing w:after="311"/>
      <w:ind w:left="410" w:right="15" w:hanging="10"/>
    </w:pPr>
    <w:rPr>
      <w:rFonts w:ascii="Calibri" w:eastAsia="Calibri" w:hAnsi="Calibri" w:cs="Calibri"/>
      <w:color w:val="000000"/>
      <w:sz w:val="19"/>
    </w:rPr>
  </w:style>
  <w:style w:type="paragraph" w:styleId="Sisluet3">
    <w:name w:val="toc 3"/>
    <w:hidden/>
    <w:pPr>
      <w:spacing w:after="504" w:line="265" w:lineRule="auto"/>
      <w:ind w:left="962" w:right="15" w:hanging="10"/>
      <w:jc w:val="right"/>
    </w:pPr>
    <w:rPr>
      <w:rFonts w:ascii="Calibri" w:eastAsia="Calibri" w:hAnsi="Calibri" w:cs="Calibr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9649</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Perusopetuksen opetussuunnitelman perusteiden 2014 muutokset ja täydennykset  koskien A1-kielen opetusta vuosiluokilla 1–2</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Perusopetuksen opetussuunnitelman perusteiden 2014 muutokset ja täydennykset  koskien A1-kielen opetusta vuosiluokilla 1–2</dc:title>
  <dc:subject/>
  <dc:creator>Inha Karoliina</dc:creator>
  <cp:keywords/>
  <cp:lastModifiedBy>Jussi Silpola</cp:lastModifiedBy>
  <cp:revision>2</cp:revision>
  <dcterms:created xsi:type="dcterms:W3CDTF">2020-01-07T11:42:00Z</dcterms:created>
  <dcterms:modified xsi:type="dcterms:W3CDTF">2020-01-07T11:42:00Z</dcterms:modified>
</cp:coreProperties>
</file>