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color w:val="000000"/>
          <w:sz w:val="40"/>
          <w:szCs w:val="40"/>
          <w:rtl w:val="0"/>
        </w:rPr>
        <w:t xml:space="preserve">Liikunta</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sz w:val="32"/>
          <w:szCs w:val="32"/>
          <w:rtl w:val="0"/>
        </w:rPr>
        <w:t xml:space="preserve">7-9</w:t>
      </w:r>
      <w:r w:rsidDel="00000000" w:rsidR="00000000" w:rsidRPr="00000000">
        <w:rPr>
          <w:rFonts w:ascii="Cambria" w:cs="Cambria" w:eastAsia="Cambria" w:hAnsi="Cambria"/>
          <w:b w:val="1"/>
          <w:color w:val="000000"/>
          <w:sz w:val="32"/>
          <w:szCs w:val="32"/>
          <w:rtl w:val="0"/>
        </w:rPr>
        <w:t xml:space="preserve"> luokka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9901.0" w:type="dxa"/>
        <w:jc w:val="left"/>
        <w:tblInd w:w="-120.0" w:type="dxa"/>
        <w:tblLayout w:type="fixed"/>
        <w:tblLook w:val="0400"/>
      </w:tblPr>
      <w:tblGrid>
        <w:gridCol w:w="9901"/>
        <w:tblGridChange w:id="0">
          <w:tblGrid>
            <w:gridCol w:w="9901"/>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jc w:val="center"/>
            </w:pPr>
            <w:r w:rsidDel="00000000" w:rsidR="00000000" w:rsidRPr="00000000">
              <w:rPr>
                <w:rFonts w:ascii="Cambria" w:cs="Cambria" w:eastAsia="Cambria" w:hAnsi="Cambria"/>
                <w:b w:val="1"/>
                <w:color w:val="000000"/>
                <w:sz w:val="28"/>
                <w:szCs w:val="28"/>
                <w:rtl w:val="0"/>
              </w:rPr>
              <w:t xml:space="preserve">Tavoitteet</w:t>
            </w:r>
            <w:r w:rsidDel="00000000" w:rsidR="00000000" w:rsidRPr="00000000">
              <w:rPr>
                <w:rtl w:val="0"/>
              </w:rPr>
            </w:r>
          </w:p>
        </w:tc>
      </w:tr>
      <w:tr>
        <w:trPr>
          <w:trHeight w:val="30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sz w:val="24"/>
                <w:szCs w:val="24"/>
                <w:rtl w:val="0"/>
              </w:rPr>
              <w:t xml:space="preserve">Liikutaan yhdessä minäkäsitystä ja omaa osallisuutta vahvistaen ja taitoja soveltaen.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opetellaan perustaitoja monipuolisesti</w:t>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kannustetaan oppilasta fyysiseen aktiivisuuteen eri liikuntamuotojen ja -lajien avulla</w:t>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myönteinen minäkäsitys ja muuttuvan kehon hyväksyminen</w:t>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terveyttä edistävä omaehtoinen liikkuminen</w:t>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kannustaminen vastuunottoon toiset huomioon ottaen reilun pelin periaatteella</w:t>
            </w:r>
          </w:p>
          <w:p w:rsidR="00000000" w:rsidDel="00000000" w:rsidP="00000000" w:rsidRDefault="00000000" w:rsidRPr="00000000">
            <w:pPr>
              <w:numPr>
                <w:ilvl w:val="0"/>
                <w:numId w:val="7"/>
              </w:numPr>
              <w:spacing w:after="0"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kannustaa ja ohjata oppilasta arvioimaan, ylläpitämään ja kehittämään fyysisiä ominaisuuksiaan: nopeutta, liikkuvuutta, kestävyyttä ja voimaa sekä ohjata liikuntateknologian hyödyntämiseen näiden tavoitteiden saavuttamisessa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tbl>
      <w:tblPr>
        <w:tblStyle w:val="Table2"/>
        <w:bidi w:val="0"/>
        <w:tblW w:w="9885.0" w:type="dxa"/>
        <w:jc w:val="left"/>
        <w:tblInd w:w="-142.0" w:type="dxa"/>
        <w:tblLayout w:type="fixed"/>
        <w:tblLook w:val="0400"/>
      </w:tblPr>
      <w:tblGrid>
        <w:gridCol w:w="3315"/>
        <w:gridCol w:w="3600"/>
        <w:gridCol w:w="2970"/>
        <w:tblGridChange w:id="0">
          <w:tblGrid>
            <w:gridCol w:w="3315"/>
            <w:gridCol w:w="3600"/>
            <w:gridCol w:w="2970"/>
          </w:tblGrid>
        </w:tblGridChange>
      </w:tblGrid>
      <w:tr>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jc w:val="center"/>
            </w:pPr>
            <w:r w:rsidDel="00000000" w:rsidR="00000000" w:rsidRPr="00000000">
              <w:rPr>
                <w:rFonts w:ascii="Cambria" w:cs="Cambria" w:eastAsia="Cambria" w:hAnsi="Cambria"/>
                <w:b w:val="1"/>
                <w:color w:val="000000"/>
                <w:sz w:val="28"/>
                <w:szCs w:val="28"/>
                <w:rtl w:val="0"/>
              </w:rPr>
              <w:t xml:space="preserve">Oppisisällöt</w:t>
            </w: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Osa-alue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Sisältö</w:t>
            </w:r>
          </w:p>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color w:val="000000"/>
                <w:sz w:val="24"/>
                <w:szCs w:val="24"/>
                <w:rtl w:val="0"/>
              </w:rPr>
              <w:t xml:space="preserve">Laaja-alainen osaaminen</w:t>
            </w:r>
            <w:r w:rsidDel="00000000" w:rsidR="00000000" w:rsidRPr="00000000">
              <w:rPr>
                <w:rtl w:val="0"/>
              </w:rPr>
            </w:r>
          </w:p>
        </w:tc>
      </w:tr>
      <w:tr>
        <w:trPr>
          <w:trHeight w:val="31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Motoriset perustaidot</w:t>
            </w:r>
          </w:p>
          <w:p w:rsidR="00000000" w:rsidDel="00000000" w:rsidP="00000000" w:rsidRDefault="00000000" w:rsidRPr="00000000">
            <w:pPr>
              <w:spacing w:after="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Fyysinen toimintakyky</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Sosiaalinen toimintakyky</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Psyykkinen toimintakyky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Tasapainotaitoja harjoitetaan esim.</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voimistelu telineillä ja välineillä kehonhallinnan keinoin, kamppailu, luistelu, hiihto, pallopelit sekä musiikki- ja tanssiliikunta</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Liikkumistaitoja harjoitetaan esim.</w:t>
            </w:r>
          </w:p>
          <w:p w:rsidR="00000000" w:rsidDel="00000000" w:rsidP="00000000" w:rsidRDefault="00000000" w:rsidRPr="00000000">
            <w:pPr>
              <w:numPr>
                <w:ilvl w:val="0"/>
                <w:numId w:val="6"/>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telineradat, perusliikunta, luistelu, hiihto, suunnistus ja retkeily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Välineen käsittelytaitoja harjoitetaan esim.</w:t>
            </w:r>
          </w:p>
          <w:p w:rsidR="00000000" w:rsidDel="00000000" w:rsidP="00000000" w:rsidRDefault="00000000" w:rsidRPr="00000000">
            <w:pPr>
              <w:numPr>
                <w:ilvl w:val="0"/>
                <w:numId w:val="8"/>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kuljettaminen, syöttäminen, vierittäminen, haltuunottaminen ja laukaiseminen, heittäminen ja kiinniottaminen, lyöminen ja pompottaminen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Vesiliikunta </w:t>
            </w:r>
          </w:p>
          <w:p w:rsidR="00000000" w:rsidDel="00000000" w:rsidP="00000000" w:rsidRDefault="00000000" w:rsidRPr="00000000">
            <w:pPr>
              <w:numPr>
                <w:ilvl w:val="0"/>
                <w:numId w:val="5"/>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liuku, hengitys veteen, potkut ja käsivedot</w:t>
            </w:r>
          </w:p>
          <w:p w:rsidR="00000000" w:rsidDel="00000000" w:rsidP="00000000" w:rsidRDefault="00000000" w:rsidRPr="00000000">
            <w:pPr>
              <w:numPr>
                <w:ilvl w:val="0"/>
                <w:numId w:val="5"/>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pudottautuminen ja hyppääminen</w:t>
            </w:r>
          </w:p>
          <w:p w:rsidR="00000000" w:rsidDel="00000000" w:rsidP="00000000" w:rsidRDefault="00000000" w:rsidRPr="00000000">
            <w:pPr>
              <w:numPr>
                <w:ilvl w:val="0"/>
                <w:numId w:val="5"/>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muu vesiliikunta </w:t>
            </w:r>
          </w:p>
          <w:p w:rsidR="00000000" w:rsidDel="00000000" w:rsidP="00000000" w:rsidRDefault="00000000" w:rsidRPr="00000000">
            <w:pPr>
              <w:numPr>
                <w:ilvl w:val="0"/>
                <w:numId w:val="5"/>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vesipelastus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Kestävyys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juoksu- ja kiinniottoleikit, pallopelit, kuntoliikunta, uiminen ja maastossa liikkuminen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Voima</w:t>
            </w:r>
          </w:p>
          <w:p w:rsidR="00000000" w:rsidDel="00000000" w:rsidP="00000000" w:rsidRDefault="00000000" w:rsidRPr="00000000">
            <w:pPr>
              <w:numPr>
                <w:ilvl w:val="0"/>
                <w:numId w:val="9"/>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voimaa kehitetään oman vartalon painoa hyödyntäen ja lisäpainoilla</w:t>
            </w:r>
          </w:p>
          <w:p w:rsidR="00000000" w:rsidDel="00000000" w:rsidP="00000000" w:rsidRDefault="00000000" w:rsidRPr="00000000">
            <w:pPr>
              <w:numPr>
                <w:ilvl w:val="0"/>
                <w:numId w:val="9"/>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opetellaan voimaharjoittelun perusteita lisäpainoilla</w:t>
            </w:r>
          </w:p>
          <w:p w:rsidR="00000000" w:rsidDel="00000000" w:rsidP="00000000" w:rsidRDefault="00000000" w:rsidRPr="00000000">
            <w:pPr>
              <w:numPr>
                <w:ilvl w:val="0"/>
                <w:numId w:val="9"/>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kehitetään riippuen, kiipeillen, hyppien ja leikkimielellä kamppaillen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Nopeus</w:t>
            </w:r>
          </w:p>
          <w:p w:rsidR="00000000" w:rsidDel="00000000" w:rsidP="00000000" w:rsidRDefault="00000000" w:rsidRPr="00000000">
            <w:pPr>
              <w:numPr>
                <w:ilvl w:val="0"/>
                <w:numId w:val="10"/>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juoksu- ja kiinniottoleikit, pelit, viestikisailut, erilaiset hypyt, loikat ja heitot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Liikkuvuus</w:t>
            </w:r>
          </w:p>
          <w:p w:rsidR="00000000" w:rsidDel="00000000" w:rsidP="00000000" w:rsidRDefault="00000000" w:rsidRPr="00000000">
            <w:pPr>
              <w:numPr>
                <w:ilvl w:val="0"/>
                <w:numId w:val="4"/>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monipuolinen kehonhallinnan kehittäminen, ojennukset, kurotukset ja venytykset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Ryhmätyötaidot</w:t>
            </w:r>
          </w:p>
          <w:p w:rsidR="00000000" w:rsidDel="00000000" w:rsidP="00000000" w:rsidRDefault="00000000" w:rsidRPr="00000000">
            <w:pPr>
              <w:numPr>
                <w:ilvl w:val="0"/>
                <w:numId w:val="1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osallistuminen tuntien suunnitteluun</w:t>
            </w:r>
          </w:p>
          <w:p w:rsidR="00000000" w:rsidDel="00000000" w:rsidP="00000000" w:rsidRDefault="00000000" w:rsidRPr="00000000">
            <w:pPr>
              <w:numPr>
                <w:ilvl w:val="0"/>
                <w:numId w:val="1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palautteen vastaanottaminen ja antaminen</w:t>
            </w:r>
          </w:p>
          <w:p w:rsidR="00000000" w:rsidDel="00000000" w:rsidP="00000000" w:rsidRDefault="00000000" w:rsidRPr="00000000">
            <w:pPr>
              <w:numPr>
                <w:ilvl w:val="0"/>
                <w:numId w:val="1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hyvän ilmapiirin muodostaminen</w:t>
            </w:r>
          </w:p>
          <w:p w:rsidR="00000000" w:rsidDel="00000000" w:rsidP="00000000" w:rsidRDefault="00000000" w:rsidRPr="00000000">
            <w:pPr>
              <w:numPr>
                <w:ilvl w:val="0"/>
                <w:numId w:val="11"/>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mahdollisten konfliktitilanteiden selvittäminen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apu ja vertaisopettajana toimiminen kehitysvaiheen ja taitojen mukaan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Harjoitellaan liikuntatunneilla psyykkisen toimintakyvyn osalta</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onnistumisen ja pettymyksen käsittelyä</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omia fyysisiä rajoja</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pitkäjännitteisyyttä</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oman kehityksen seuraamisen ja arvioinnin taitoja</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positiivista suhtautumista terveyttä edistävään liikunnalliseen elämäntapaan</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myönteisten kokemusten kartuttaminen omasta kehosta, pätevyydestä ja yhteisöllisyydestä (T11)</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Apu- tai vertaisopettajana toimiminen kehitysvaiheen ja taitojen mukaan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Itsestä huolehtiminen ja arjen taidot (L3)</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Monilukutaito (L4)</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Työelämätaidot ja</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 yrittäjyys (L6)</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Osallistuminen, vaikuttaminen ja kestävän tulevaisuuden rakentaminen (L7)</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Vuorovaikutus ja ilmaisu (L2)</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Itsestä huolehtiminen ja arjen taidot (L3)</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Osallistuminen, vaikuttaminen ja kestävän tulevaisuuden rakentaminen (L7)</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Työelämätaidot ja yrittäjyys (L6)</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Ajattelu ja oppimaan oppiminen (L1)</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Kulttuurinen osaaminen, vuorovaikutus ja ilmaisu (L2)</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Itsestä huolehtiminen ja arjen taidot (L3)</w:t>
            </w:r>
          </w:p>
          <w:p w:rsidR="00000000" w:rsidDel="00000000" w:rsidP="00000000" w:rsidRDefault="00000000" w:rsidRPr="00000000">
            <w:pPr>
              <w:spacing w:after="0" w:lineRule="auto"/>
              <w:contextualSpacing w:val="0"/>
            </w:pP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sz w:val="28"/>
          <w:szCs w:val="28"/>
          <w:rtl w:val="0"/>
        </w:rPr>
        <w:t xml:space="preserve">Arviointi</w:t>
      </w:r>
    </w:p>
    <w:p w:rsidR="00000000" w:rsidDel="00000000" w:rsidP="00000000" w:rsidRDefault="00000000" w:rsidRPr="00000000">
      <w:pPr>
        <w:spacing w:after="150" w:before="300" w:line="240" w:lineRule="auto"/>
        <w:contextualSpacing w:val="0"/>
      </w:pPr>
      <w:r w:rsidDel="00000000" w:rsidR="00000000" w:rsidRPr="00000000">
        <w:rPr>
          <w:rFonts w:ascii="Helvetica Neue" w:cs="Helvetica Neue" w:eastAsia="Helvetica Neue" w:hAnsi="Helvetica Neue"/>
          <w:color w:val="1f1f1f"/>
          <w:sz w:val="27"/>
          <w:szCs w:val="27"/>
          <w:rtl w:val="0"/>
        </w:rPr>
        <w:t xml:space="preserve">Oppilaan oppimisen arviointi liikunnassa vuosiluokilla 7-9</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Oppilaiden kasvamista liikuntaan ja liikunnan avulla tuetaan monipuolisella, kannustavalla ja ohjaavalla palautteella ja arvioinnilla. Ne tukevat oppilaiden myönteistä käsitystä itsestä liikkujana. Liikunnan opetuksessa ja arvioinnissa tulee ottaa huomioon oppilaan terveydentila ja erityistarpeet.</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Liikunnan arviointi perustuu fyysisen-, sosiaalisen ja psyykkisen toimintakyvyn tavoitteisiin. Arvioinnin kohteina ovat oppiminen, joten fyysisten kunto-ominaisuuksien tasoa ei käytetä arvioinnin perusteena. Move!-mittausten tuloksia ei käytetä oppilaan arvioinnin perusteina. Arvioinnissa käytetään monipuolisia menetelmiä siten, että oppilailla on mahdollisuus osoittaa parasta osaamistaan. Oppilaita ohjataan itsearviointiin.</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Päättöarviointi sijoittuu siihen lukuvuoteen, jona oppiaineen opiskelu päättyy kaikille yhteisenä oppiaineena. Päättöarvioinnilla määritellään, miten oppilas on opiskelun päättyessä saavuttanut liikunnan oppimäärän tavoitteet. Päättöarvosana muodostetaan suhteuttamalla oppilaan osaamisen taso liikunnan valtakunnallisiin päättöarvioinnin kriteereihin. Osaaminen liikunnassa kehittyy kumulatiivisesti.</w:t>
      </w:r>
    </w:p>
    <w:p w:rsidR="00000000" w:rsidDel="00000000" w:rsidP="00000000" w:rsidRDefault="00000000" w:rsidRPr="00000000">
      <w:pPr>
        <w:spacing w:after="150" w:line="240" w:lineRule="auto"/>
        <w:contextualSpacing w:val="0"/>
      </w:pPr>
      <w:r w:rsidDel="00000000" w:rsidR="00000000" w:rsidRPr="00000000">
        <w:rPr>
          <w:rFonts w:ascii="Times New Roman" w:cs="Times New Roman" w:eastAsia="Times New Roman" w:hAnsi="Times New Roman"/>
          <w:sz w:val="24"/>
          <w:szCs w:val="24"/>
          <w:rtl w:val="0"/>
        </w:rPr>
        <w:t xml:space="preserve"> Oppilas saa arvosanan kahdeksan (8), mikäli hän osoittaa keskimäärin kriteerien määrittämää osaamista. Arvosanan kahdeksan tason ylittäminen joidenkin tavoitteiden osalta voi kompensoida tasoa heikomman suoriutumisen joidenkin muiden tavoitteiden osalta.</w:t>
      </w:r>
    </w:p>
    <w:p w:rsidR="00000000" w:rsidDel="00000000" w:rsidP="00000000" w:rsidRDefault="00000000" w:rsidRPr="00000000">
      <w:pPr>
        <w:spacing w:after="150" w:line="240" w:lineRule="auto"/>
        <w:contextualSpacing w:val="0"/>
      </w:pPr>
      <w:r w:rsidDel="00000000" w:rsidR="00000000" w:rsidRPr="00000000">
        <w:rPr>
          <w:rtl w:val="0"/>
        </w:rPr>
      </w:r>
    </w:p>
    <w:p w:rsidR="00000000" w:rsidDel="00000000" w:rsidP="00000000" w:rsidRDefault="00000000" w:rsidRPr="00000000">
      <w:pPr>
        <w:spacing w:after="150" w:line="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Cambria" w:cs="Cambria" w:eastAsia="Cambria" w:hAnsi="Cambria"/>
          <w:b w:val="1"/>
          <w:sz w:val="24"/>
          <w:szCs w:val="24"/>
          <w:rtl w:val="0"/>
        </w:rPr>
        <w:t xml:space="preserve">Hyvä osaaminen (8)</w:t>
      </w:r>
    </w:p>
    <w:p w:rsidR="00000000" w:rsidDel="00000000" w:rsidP="00000000" w:rsidRDefault="00000000" w:rsidRPr="00000000">
      <w:pPr>
        <w:pStyle w:val="Heading4"/>
        <w:spacing w:after="150" w:before="150" w:lineRule="auto"/>
        <w:contextualSpacing w:val="0"/>
      </w:pPr>
      <w:r w:rsidDel="00000000" w:rsidR="00000000" w:rsidRPr="00000000">
        <w:rPr>
          <w:rFonts w:ascii="Helvetica Neue" w:cs="Helvetica Neue" w:eastAsia="Helvetica Neue" w:hAnsi="Helvetica Neue"/>
          <w:i w:val="1"/>
          <w:color w:val="1f1f1f"/>
          <w:sz w:val="20"/>
          <w:szCs w:val="20"/>
          <w:rtl w:val="0"/>
        </w:rPr>
        <w:t xml:space="preserve">Liikunnan päättöarvioinnin kriteerit hyvälle osaamiselle (arvosanalle 8) oppimäärän päättyessä</w:t>
      </w:r>
    </w:p>
    <w:tbl>
      <w:tblPr>
        <w:tblStyle w:val="Table3"/>
        <w:bidi w:val="0"/>
        <w:tblW w:w="9640.0" w:type="dxa"/>
        <w:jc w:val="left"/>
        <w:tblInd w:w="-120.0" w:type="dxa"/>
        <w:tblBorders>
          <w:top w:color="dddddd" w:space="0" w:sz="6" w:val="single"/>
          <w:left w:color="dddddd" w:space="0" w:sz="6" w:val="single"/>
          <w:bottom w:color="dddddd" w:space="0" w:sz="6" w:val="single"/>
          <w:right w:color="dddddd" w:space="0" w:sz="6" w:val="single"/>
        </w:tblBorders>
        <w:tblLayout w:type="fixed"/>
        <w:tblLook w:val="0400"/>
      </w:tblPr>
      <w:tblGrid>
        <w:gridCol w:w="4020"/>
        <w:gridCol w:w="5620"/>
        <w:tblGridChange w:id="0">
          <w:tblGrid>
            <w:gridCol w:w="4020"/>
            <w:gridCol w:w="5620"/>
          </w:tblGrid>
        </w:tblGridChange>
      </w:tblGrid>
      <w:tr>
        <w:tc>
          <w:tcPr>
            <w:tcBorders>
              <w:top w:color="000000" w:space="0" w:sz="0" w:val="nil"/>
              <w:left w:color="dddddd" w:space="0" w:sz="6" w:val="single"/>
              <w:bottom w:color="dddddd" w:space="0" w:sz="12" w:val="single"/>
              <w:right w:color="dddddd" w:space="0" w:sz="6" w:val="single"/>
            </w:tcBorders>
            <w:shd w:fill="eeeeee"/>
            <w:tcMar>
              <w:top w:w="60.0" w:type="dxa"/>
              <w:left w:w="120.0" w:type="dxa"/>
              <w:bottom w:w="60.0" w:type="dxa"/>
              <w:right w:w="120.0" w:type="dxa"/>
            </w:tcMar>
          </w:tcPr>
          <w:p w:rsidR="00000000" w:rsidDel="00000000" w:rsidP="00000000" w:rsidRDefault="00000000" w:rsidRPr="00000000">
            <w:pPr>
              <w:spacing w:after="300" w:lineRule="auto"/>
              <w:contextualSpacing w:val="0"/>
            </w:pPr>
            <w:r w:rsidDel="00000000" w:rsidR="00000000" w:rsidRPr="00000000">
              <w:rPr>
                <w:b w:val="1"/>
                <w:sz w:val="19"/>
                <w:szCs w:val="19"/>
                <w:rtl w:val="0"/>
              </w:rPr>
              <w:t xml:space="preserve">Arvioinnin kohteet oppiaineessa</w:t>
            </w:r>
          </w:p>
        </w:tc>
        <w:tc>
          <w:tcPr>
            <w:tcBorders>
              <w:top w:color="000000" w:space="0" w:sz="0" w:val="nil"/>
              <w:left w:color="dddddd" w:space="0" w:sz="6" w:val="single"/>
              <w:bottom w:color="dddddd" w:space="0" w:sz="12" w:val="single"/>
              <w:right w:color="dddddd" w:space="0" w:sz="6" w:val="single"/>
            </w:tcBorders>
            <w:shd w:fill="eeeeee"/>
            <w:tcMar>
              <w:top w:w="60.0" w:type="dxa"/>
              <w:left w:w="120.0" w:type="dxa"/>
              <w:bottom w:w="60.0" w:type="dxa"/>
              <w:right w:w="120.0" w:type="dxa"/>
            </w:tcMar>
          </w:tcPr>
          <w:p w:rsidR="00000000" w:rsidDel="00000000" w:rsidP="00000000" w:rsidRDefault="00000000" w:rsidRPr="00000000">
            <w:pPr>
              <w:spacing w:after="300" w:lineRule="auto"/>
              <w:contextualSpacing w:val="0"/>
            </w:pPr>
            <w:r w:rsidDel="00000000" w:rsidR="00000000" w:rsidRPr="00000000">
              <w:rPr>
                <w:b w:val="1"/>
                <w:sz w:val="19"/>
                <w:szCs w:val="19"/>
                <w:rtl w:val="0"/>
              </w:rPr>
              <w:t xml:space="preserve">Arvosanan kahdeksan osaaminen</w:t>
            </w:r>
          </w:p>
        </w:tc>
      </w:tr>
      <w:t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Työskentely ja yrittäminen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Oppilas osallistuu liikuntatuntien toimintaan yleensä aktiivisesti kokeillen ja harjoitellen erilaisia liikuntamuotoja.</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Ratkaisujen teko erilaisissa liikuntatilanteissa</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Oppilas tekee useimmiten tarkoituksenmukaisia ratkaisuja erilaisissa liikuntatilanteissa.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Motoriset perustaidot (tasapaino- ja liikkumistaidot), eri liikuntamuodoissa</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Oppilas osaa käyttää, yhdistää ja soveltaa tasapaino- ja liikkumistaitoja useimmissa opetetuissa liikuntamuodoissa.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Motoriset perustaidot (välineenkäsittelytaidot) eri liikuntamuodoissa</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t xml:space="preserve">Oppilas osaa käyttää, yhdistää ja soveltaa välineenkäsittelytaitoja useimmissa opetetuissa liikuntamuodoissa.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Fyysisten ominaisuuksien arviointi, ylläpito ja kehittäminen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osaa arvioida fyysisiä ominaisuuksiaan ja sen pohjalta harjoittaa voimaa, nopeutta, liikkuvuutta ja kestävyyttä.</w:t>
            </w:r>
            <w:r w:rsidDel="00000000" w:rsidR="00000000" w:rsidRPr="00000000">
              <w:rPr>
                <w:rtl w:val="0"/>
              </w:rPr>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Uima- ja vesipelastustaidot</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osaa uida, pelastautua ja pelastaa vedestä.</w:t>
            </w:r>
            <w:r w:rsidDel="00000000" w:rsidR="00000000" w:rsidRPr="00000000">
              <w:rPr>
                <w:rtl w:val="0"/>
              </w:rPr>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Toiminta liikuntatunneilla</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toimii turvallisesti ja asiallisesti liikuntatunneilla.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Vuorovaikutus- ja työskentelytaidot</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osaa toimia eri liikuntatilanteissa yhteisesti sovitulla tavalla.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Toiminta yhteisissä oppimistilanteissa</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noudattaa reilun pelin periaatteita ja osoittaa ottavansa vastuuta yhteisistä oppimistilanteista.</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Työskentelytaidot</w:t>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Fonts w:ascii="Helvetica Neue" w:cs="Helvetica Neue" w:eastAsia="Helvetica Neue" w:hAnsi="Helvetica Neue"/>
                <w:color w:val="1f1f1f"/>
                <w:sz w:val="21"/>
                <w:szCs w:val="21"/>
                <w:highlight w:val="white"/>
                <w:rtl w:val="0"/>
              </w:rPr>
              <w:t xml:space="preserve">Oppilas osaa pääsääntöisesti työskennellä vastuullisesti ja itsenäisesti.</w:t>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r>
      <w:tr>
        <w:trPr>
          <w:trHeight w:val="860" w:hRule="atLeast"/>
        </w:trPr>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75.0" w:type="dxa"/>
              <w:left w:w="120.0" w:type="dxa"/>
              <w:bottom w:w="75.0" w:type="dxa"/>
              <w:right w:w="120.0" w:type="dxa"/>
            </w:tcMar>
          </w:tcPr>
          <w:p w:rsidR="00000000" w:rsidDel="00000000" w:rsidP="00000000" w:rsidRDefault="00000000" w:rsidRPr="00000000">
            <w:pPr>
              <w:spacing w:after="30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Cambria" w:cs="Cambria" w:eastAsia="Cambria" w:hAnsi="Cambria"/>
          <w:color w:val="000000"/>
          <w:sz w:val="24"/>
          <w:szCs w:val="24"/>
          <w:rtl w:val="0"/>
        </w:rPr>
        <w:t xml:space="preserve">                                 </w:t>
      </w:r>
      <w:r w:rsidDel="00000000" w:rsidR="00000000" w:rsidRPr="00000000">
        <w:rPr>
          <w:rtl w:val="0"/>
        </w:rPr>
      </w:r>
    </w:p>
    <w:sectPr>
      <w:pgSz w:h="16838" w:w="11906"/>
      <w:pgMar w:bottom="1417"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 w:name="Helvetica Neue">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