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AF" w:rsidRPr="003C5958" w:rsidRDefault="006F23AF" w:rsidP="006F23AF">
      <w:pPr>
        <w:spacing w:after="0"/>
        <w:rPr>
          <w:rFonts w:eastAsia="Times New Roman" w:cs="Times New Roman"/>
          <w:b/>
          <w:color w:val="000000"/>
          <w:sz w:val="28"/>
          <w:szCs w:val="28"/>
          <w:lang w:val="en-US"/>
        </w:rPr>
      </w:pPr>
      <w:bookmarkStart w:id="0" w:name="_GoBack"/>
      <w:bookmarkEnd w:id="0"/>
      <w:r w:rsidRPr="003C5958">
        <w:rPr>
          <w:rFonts w:eastAsia="Times New Roman" w:cs="Times New Roman"/>
          <w:b/>
          <w:color w:val="000000"/>
          <w:sz w:val="28"/>
          <w:szCs w:val="28"/>
          <w:lang w:val="en-US"/>
        </w:rPr>
        <w:t>Uskonnon opetuksen tavoitteet vuosiluokilla 1-2</w:t>
      </w:r>
    </w:p>
    <w:p w:rsidR="006F23AF" w:rsidRPr="003C5958" w:rsidRDefault="006F23AF" w:rsidP="006F23AF">
      <w:pPr>
        <w:spacing w:after="0"/>
        <w:rPr>
          <w:rFonts w:eastAsia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0"/>
        <w:gridCol w:w="1843"/>
        <w:gridCol w:w="2126"/>
      </w:tblGrid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Opetuksen tavoitteet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Tavoitteisiin liittyvät sisältöalueet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</w:rPr>
              <w:t>Laaja-alainen osaaminen, johon tavoite liittyy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>1.lk:  Herättää oppilaassa mielenkiinto uskonnon opiskelua kohtaan ja opastaa tuntemaan oman perheen uskonnollista ja katsomuksellista taustaa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val="en-US"/>
              </w:rPr>
              <w:t>S1, S2, S3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L2, L4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 xml:space="preserve">2.lk:  Ohjata oppilasta tutustumaan opiskeltavan uskonnon keskeisiin käsitteisiin, kertomuksiin ja symboleihin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val="en-US"/>
              </w:rPr>
              <w:t>S1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L1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tabs>
                <w:tab w:val="left" w:pos="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>1.-2. lk: Ohjata oppilasta tutustumaan opiskeltavan uskonnon vuodenkiertoon, juhliin ja tapoihin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>S1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</w:rPr>
              <w:t>L2, L7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4B19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 xml:space="preserve">2.lk Kannustaa oppilasta tutustumaan luokan, koulun ja lähiympäristön uskontojen ja katsomusten tapoihin ja juhlaperinteisiin </w:t>
            </w:r>
          </w:p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 xml:space="preserve">( </w:t>
            </w:r>
            <w:r w:rsidR="00EE4B19">
              <w:rPr>
                <w:rFonts w:eastAsia="Times New Roman" w:cs="Times New Roman"/>
                <w:sz w:val="28"/>
                <w:szCs w:val="28"/>
              </w:rPr>
              <w:t xml:space="preserve">yhteydet </w:t>
            </w:r>
            <w:r w:rsidRPr="003C5958">
              <w:rPr>
                <w:rFonts w:eastAsia="Times New Roman" w:cs="Times New Roman"/>
                <w:sz w:val="28"/>
                <w:szCs w:val="28"/>
              </w:rPr>
              <w:t>Rauhanyhdistys, helluntaisrk, ortodoksinen srk)</w:t>
            </w:r>
            <w:r w:rsidR="00527FE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527FEC">
              <w:rPr>
                <w:rFonts w:ascii="Book Antiqua" w:eastAsia="Times New Roman" w:hAnsi="Book Antiqua" w:cs="Times New Roman"/>
                <w:sz w:val="28"/>
                <w:szCs w:val="28"/>
              </w:rPr>
              <w:t>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>S2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</w:rPr>
              <w:t>L2, L3, L7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 xml:space="preserve">1.-2. lk: Rohkaista oppilasta tunnistamaan ja ilmaisemaan omia ajatuksiaan ja tunteitaan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>S1, S3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</w:rPr>
              <w:t>L2, L6, L7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tabs>
                <w:tab w:val="left" w:pos="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>2. lk: Ohjata oppilasta toimimaan oikeudenmukaisesti, eläytymään toisen asemaan sekä kunnioittamaan toisen ihmisen ajatuksia ja vakaumusta sekä ihmisoikeuksia (=&gt; 5-6.lk)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>S1, S3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</w:rPr>
              <w:t>L2, L6, L7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 xml:space="preserve">1.lk:  </w:t>
            </w:r>
            <w:r w:rsidRPr="003C5958">
              <w:rPr>
                <w:sz w:val="28"/>
                <w:szCs w:val="28"/>
              </w:rPr>
              <w:t>Ohjata oppilaita eettiseen pohdintaan sekä hahmottamaan, mitä tarkoittaa vastuu itsestä, yhteisöstä, ympäristöstä ja luonnosta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3C5958">
              <w:rPr>
                <w:rFonts w:eastAsia="Times New Roman" w:cs="Times New Roman"/>
                <w:sz w:val="28"/>
                <w:szCs w:val="28"/>
                <w:lang w:val="en-US"/>
              </w:rPr>
              <w:t>S3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L3, L7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C5958">
              <w:rPr>
                <w:rFonts w:eastAsia="Times New Roman" w:cs="Times New Roman"/>
                <w:sz w:val="28"/>
                <w:szCs w:val="28"/>
              </w:rPr>
              <w:t xml:space="preserve"> 2.lk: Luoda oppilaalle tilaisuuksia harjoitella omien mielipiteiden esittämistä ja perustelemista sekä erilaisten mielipiteiden kuuntelemista ja ymmärtämistä</w:t>
            </w:r>
            <w:r w:rsidR="00527FEC">
              <w:rPr>
                <w:rFonts w:eastAsia="Times New Roman" w:cs="Times New Roman"/>
                <w:sz w:val="28"/>
                <w:szCs w:val="28"/>
              </w:rPr>
              <w:t xml:space="preserve"> (yhdistyy tavoitteeseen </w:t>
            </w:r>
            <w:r w:rsidR="00527FEC">
              <w:rPr>
                <w:rFonts w:ascii="Book Antiqua" w:eastAsia="Times New Roman" w:hAnsi="Book Antiqua" w:cs="Times New Roman"/>
                <w:sz w:val="28"/>
                <w:szCs w:val="28"/>
              </w:rPr>
              <w:t>▲</w:t>
            </w:r>
            <w:r w:rsidR="00527FEC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27FEC">
              <w:rPr>
                <w:rFonts w:eastAsia="Times New Roman" w:cs="Times New Roman"/>
                <w:sz w:val="28"/>
                <w:szCs w:val="28"/>
              </w:rPr>
              <w:t>S1, S3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</w:rPr>
            </w:pPr>
            <w:r w:rsidRPr="00527FEC">
              <w:rPr>
                <w:rFonts w:eastAsia="Times New Roman" w:cs="Times New Roman"/>
                <w:color w:val="000000"/>
                <w:sz w:val="28"/>
                <w:szCs w:val="28"/>
              </w:rPr>
              <w:t>L1, L5, L6, L7</w:t>
            </w:r>
          </w:p>
        </w:tc>
      </w:tr>
    </w:tbl>
    <w:p w:rsidR="006F23AF" w:rsidRPr="003C5958" w:rsidRDefault="006F23AF" w:rsidP="006F23AF">
      <w:pPr>
        <w:rPr>
          <w:sz w:val="28"/>
          <w:szCs w:val="28"/>
        </w:rPr>
      </w:pPr>
    </w:p>
    <w:p w:rsidR="006F23AF" w:rsidRPr="003C5958" w:rsidRDefault="006F23AF" w:rsidP="006F23AF">
      <w:pPr>
        <w:jc w:val="both"/>
        <w:rPr>
          <w:rFonts w:cs="Arial"/>
          <w:b/>
          <w:sz w:val="28"/>
          <w:szCs w:val="28"/>
        </w:rPr>
      </w:pPr>
    </w:p>
    <w:p w:rsidR="006F23AF" w:rsidRPr="003C5958" w:rsidRDefault="006F23AF" w:rsidP="006F23AF">
      <w:pPr>
        <w:jc w:val="both"/>
        <w:rPr>
          <w:rFonts w:cs="Arial"/>
          <w:b/>
          <w:sz w:val="28"/>
          <w:szCs w:val="28"/>
        </w:rPr>
      </w:pPr>
      <w:r w:rsidRPr="003C5958">
        <w:rPr>
          <w:rFonts w:cs="Arial"/>
          <w:b/>
          <w:sz w:val="28"/>
          <w:szCs w:val="28"/>
        </w:rPr>
        <w:t xml:space="preserve">Elämänkatsomustiedon opetuksen tavoitteet vuosiluokilla 1-2 </w:t>
      </w:r>
    </w:p>
    <w:tbl>
      <w:tblPr>
        <w:tblStyle w:val="TaulukkoRuudukko"/>
        <w:tblW w:w="9889" w:type="dxa"/>
        <w:tblLook w:val="04A0" w:firstRow="1" w:lastRow="0" w:firstColumn="1" w:lastColumn="0" w:noHBand="0" w:noVBand="1"/>
      </w:tblPr>
      <w:tblGrid>
        <w:gridCol w:w="5660"/>
        <w:gridCol w:w="1712"/>
        <w:gridCol w:w="2517"/>
      </w:tblGrid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ind w:right="566"/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Opetuksen tavoitteet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Tavoitteisiin liittyvät sisältöalueet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Laaja-alainen osaaminen, johon tavoite liittyy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ind w:right="566"/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 xml:space="preserve">1.lk: Ohjata oppilasta </w:t>
            </w:r>
            <w:r w:rsidRPr="003C5958">
              <w:rPr>
                <w:rFonts w:cs="Arial"/>
                <w:bCs/>
                <w:sz w:val="28"/>
                <w:szCs w:val="28"/>
              </w:rPr>
              <w:t xml:space="preserve">kuuntelemaan toisten oppilaiden mielipiteitä ja ajattelua 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 xml:space="preserve">S1-S4 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L1,L2, L4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2. lk: Rohkaista oppilasta ilmaisemaan omaa ajatteluaan ja tunteitaan eri tavoin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S2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L1, L2,L7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>1.-2.lk :Ohjata</w:t>
            </w:r>
            <w:r w:rsidRPr="003C5958">
              <w:rPr>
                <w:rFonts w:cs="Arial"/>
                <w:bCs/>
                <w:sz w:val="28"/>
                <w:szCs w:val="28"/>
              </w:rPr>
              <w:t xml:space="preserve"> oppilasta arvostamaan omaa ja muiden ajattelua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S1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L1, L2, L7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 xml:space="preserve">Edistää oppilaan taitoa tehdä kysymyksiä ja esittää perusteltuja väitteitä  (=&gt; </w:t>
            </w:r>
            <w:r w:rsidR="00527FEC">
              <w:rPr>
                <w:sz w:val="28"/>
                <w:szCs w:val="28"/>
              </w:rPr>
              <w:t xml:space="preserve">siirtyy </w:t>
            </w:r>
            <w:r w:rsidRPr="003C5958">
              <w:rPr>
                <w:sz w:val="28"/>
                <w:szCs w:val="28"/>
              </w:rPr>
              <w:t>5-6.lk</w:t>
            </w:r>
            <w:r w:rsidR="00527FEC">
              <w:rPr>
                <w:sz w:val="28"/>
                <w:szCs w:val="28"/>
              </w:rPr>
              <w:t>:n tavoitteisiin)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 xml:space="preserve">S1-S4 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L1, L2, L7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527FEC">
            <w:pPr>
              <w:ind w:right="566"/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 xml:space="preserve">1.-2.lk: Ohjata oppilasta tunnistamaan </w:t>
            </w:r>
            <w:r w:rsidRPr="003C5958">
              <w:rPr>
                <w:rFonts w:cs="Arial"/>
                <w:bCs/>
                <w:sz w:val="28"/>
                <w:szCs w:val="28"/>
              </w:rPr>
              <w:t>kokemiensa arkipäiväisten tilanteiden sy</w:t>
            </w:r>
            <w:r w:rsidR="00527FEC">
              <w:rPr>
                <w:rFonts w:cs="Arial"/>
                <w:bCs/>
                <w:sz w:val="28"/>
                <w:szCs w:val="28"/>
              </w:rPr>
              <w:t xml:space="preserve">itä ja seurauksia sekä eettisiä </w:t>
            </w:r>
            <w:r w:rsidRPr="003C5958">
              <w:rPr>
                <w:rFonts w:cs="Arial"/>
                <w:bCs/>
                <w:sz w:val="28"/>
                <w:szCs w:val="28"/>
              </w:rPr>
              <w:t>ulottuvuuksia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S1-S4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L1, L3, L4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 xml:space="preserve">2. lk: Rohkaista oppilasta pohtimaan </w:t>
            </w:r>
            <w:r w:rsidRPr="003C5958">
              <w:rPr>
                <w:rFonts w:cs="Arial"/>
                <w:bCs/>
                <w:sz w:val="28"/>
                <w:szCs w:val="28"/>
              </w:rPr>
              <w:t>oikean ja väärän eroa sekä hyvyyttä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 xml:space="preserve">S1-S4 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 xml:space="preserve">L1, L3, L7 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527FEC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1.lk:</w:t>
            </w:r>
            <w:r w:rsidR="00527FEC">
              <w:rPr>
                <w:rFonts w:eastAsia="Calibri" w:cs="Calibri"/>
                <w:color w:val="000000"/>
                <w:sz w:val="28"/>
                <w:szCs w:val="28"/>
              </w:rPr>
              <w:t xml:space="preserve">  </w:t>
            </w: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 xml:space="preserve">Opastaa oppilasta tuntemaan </w:t>
            </w:r>
            <w:r w:rsidRPr="003C5958">
              <w:rPr>
                <w:rFonts w:eastAsia="Calibri" w:cs="Calibri"/>
                <w:sz w:val="28"/>
                <w:szCs w:val="28"/>
              </w:rPr>
              <w:t xml:space="preserve">lähiympäristön tapakulttuureja 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S2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L2, L4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 xml:space="preserve">2.lk: Ohjata oppilasta ymmärtämään ihmisten yhteiselämän perusteita 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 xml:space="preserve">S1-S4 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L2, L3, L7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527FEC">
            <w:pPr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 xml:space="preserve">1.lk: Ohjata oppilasta kunnioittamaan ja arvostamaan omaa ympäristöään ja luontoa 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S4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L3, L5, L7</w:t>
            </w:r>
          </w:p>
        </w:tc>
      </w:tr>
    </w:tbl>
    <w:p w:rsidR="009E2F92" w:rsidRDefault="009E2F92"/>
    <w:sectPr w:rsidR="009E2F92" w:rsidSect="009E2F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AF"/>
    <w:rsid w:val="002F4886"/>
    <w:rsid w:val="00527FEC"/>
    <w:rsid w:val="00653C89"/>
    <w:rsid w:val="006F23AF"/>
    <w:rsid w:val="00964C81"/>
    <w:rsid w:val="009E2F92"/>
    <w:rsid w:val="00E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F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27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F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27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2205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</dc:creator>
  <cp:lastModifiedBy>opettajat</cp:lastModifiedBy>
  <cp:revision>2</cp:revision>
  <dcterms:created xsi:type="dcterms:W3CDTF">2016-04-27T08:17:00Z</dcterms:created>
  <dcterms:modified xsi:type="dcterms:W3CDTF">2016-04-27T08:17:00Z</dcterms:modified>
</cp:coreProperties>
</file>