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83" w:rsidRPr="00655611" w:rsidRDefault="00D24983" w:rsidP="00D24983">
      <w:pP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</w:pPr>
      <w:r w:rsidRPr="00655611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Kestävän kehityksen ohjelma</w:t>
      </w:r>
      <w:r w:rsidR="00A57A28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 xml:space="preserve"> lukuvuodelle 202</w:t>
      </w:r>
      <w:r w:rsidR="0062292C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1</w:t>
      </w:r>
      <w:r w:rsidR="00A57A28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-202</w:t>
      </w:r>
      <w:r w:rsidR="0062292C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2</w:t>
      </w:r>
    </w:p>
    <w:p w:rsidR="00D24983" w:rsidRDefault="00D24983" w:rsidP="00D24983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  <w:r w:rsidRPr="00A57A28">
        <w:rPr>
          <w:sz w:val="32"/>
          <w:szCs w:val="32"/>
        </w:rPr>
        <w:t>SATAVUON KOULU</w:t>
      </w:r>
      <w:r w:rsidR="00A57A28">
        <w:rPr>
          <w:sz w:val="32"/>
          <w:szCs w:val="32"/>
        </w:rPr>
        <w:t>, LAUKAA</w:t>
      </w:r>
    </w:p>
    <w:p w:rsidR="00346B02" w:rsidRDefault="00346B02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4"/>
          <w:szCs w:val="24"/>
          <w:lang w:eastAsia="fi-FI"/>
        </w:rPr>
      </w:pPr>
    </w:p>
    <w:p w:rsidR="0081272F" w:rsidRPr="0035618F" w:rsidRDefault="0081272F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</w:pPr>
      <w:r w:rsidRPr="0035618F"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  <w:t>KESTÄVÄN KEHITYKSEN OHJELMA</w:t>
      </w:r>
    </w:p>
    <w:p w:rsidR="00B064D3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B064D3" w:rsidRPr="00655611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Ekologinen ja taloudellinen kestävyys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Vastuulliset hankinnat ja kestävä kulutus 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Ekologisuus rakennuksessa, aurinkoenergia </w:t>
      </w:r>
      <w:r w:rsidR="004C305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ja puurakentaminen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Automaattiset valot ja hanat, pestävät käsipyyhkeet, ekologiset kalusteet</w:t>
      </w:r>
    </w:p>
    <w:p w:rsidR="00D24983" w:rsidRPr="00F677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Jätteen synnyn ehkäisy ja kierrätys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Keke-tori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hävikkiruokaviikk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o,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bokashi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keke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-kassit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Kuljetukset ja liikkuminen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mahdollisimman kestävällä tavalla</w:t>
      </w:r>
    </w:p>
    <w:p w:rsidR="009C52C0" w:rsidRPr="00655611" w:rsidRDefault="009C52C0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Digimateriaalien käyttö ja oppimateriaalien kierrättäminen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ulkona oppiminen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Koulurakennuksen ja pihaympäristön hoito ja ylläpito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siivouspäivä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 syksyllä ja keväällä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Ravinto ja terveys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lähiruuan merkitys ja vahvistaminen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Ekologisten pesu- ja puhdistusaineiden käyttö</w:t>
      </w:r>
    </w:p>
    <w:p w:rsidR="00D24983" w:rsidRPr="005C7D8A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laatiminen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sen toteuttaminen koulun arjessa</w:t>
      </w:r>
    </w:p>
    <w:p w:rsidR="00D24983" w:rsidRPr="00655611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Sosiaalinen ja kulttuurinen kestävyys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Turvallisuus koulussa ja koulumatkalla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Henkilöstön ja oppilaiden hyvinvointi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Kiusaamisen ja syrjäytymisen ehkäisy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tunnetaidot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välkkärit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Oppilashuolto ja muu oppimisen tuki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Kulttuuriympäristö,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uuden koulun tapojen ja perinteiden luominen</w:t>
      </w:r>
      <w:r w:rsidR="009C52C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sekä vakiinnuttaminen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Yhteiset tapahtumat ja teemapäivät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laatiminen, 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eke-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agenttien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kokoaminen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yhteistyö oppilaskunnan kanssa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Ilmastoahdistuksen huomioiminen: pienin askelin kestävään kehitykseen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Ulkona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oppimisen mahdollisuudet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kokeilut</w:t>
      </w:r>
    </w:p>
    <w:p w:rsidR="00D24983" w:rsidRDefault="00275C8B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Välituntiliikuttajat</w:t>
      </w:r>
      <w:proofErr w:type="spellEnd"/>
      <w:r w:rsidR="0036021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eli 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välkkärit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ja maastopyöräilyn kehittäminen koulun alueella</w:t>
      </w:r>
    </w:p>
    <w:p w:rsidR="0062292C" w:rsidRPr="0081272F" w:rsidRDefault="0062292C" w:rsidP="0062292C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TOIMINTA</w:t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  <w:t>VASTUUHENKILÖT</w:t>
      </w: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RAVINTO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Lähiruuan tarjoaminen ja mahdollisuuksien kartoittaminen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ruokapalvelu, koulun johto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Hyvät ruokailutavat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henkilökunta,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Hävikkiruuan vähentäminen: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Hävikkiruokaviikko, Vilkas-viikko, biojätteen punnitseminen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oppilaat, ruokapalvelu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SIIVOUS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Tavaroista huolehtiminen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Ekologiset puhdistusaineet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siivouspalvelu, henkilöstö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Pestävät käsipyyhkeet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KIERRÄTYS/JÄTTEET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Biojätteen k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eräys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oppilaat, siivous- ja ruokapalvelu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Paperin keräys: astiat joka luokassa ja monistamossa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Muovi, kartonki ja pahvi: </w:t>
            </w:r>
            <w:proofErr w:type="spellStart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-kassit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käytävillä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Energiajätteen toimitus kierrätyspisteille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275C8B" w:rsidRDefault="00275C8B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275C8B" w:rsidRDefault="00275C8B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ENERGIAN SÄÄSTÖ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Aurinkosähkö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Automaattiset valot ja hanat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</w:tbl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lastRenderedPageBreak/>
        <w:t>MATERIAALIT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Ekologisuus kaikissa mahdollisissa materiaaleissa: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yhteistyö pedagogisten mattojen käytössä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Lindström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Kierrätetty ja sähköinen materiaali opetuksessa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Kierrätysmateriaali</w:t>
            </w:r>
            <w:r w:rsidR="00275C8B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n käyttö 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opetuksessa</w:t>
            </w:r>
          </w:p>
        </w:tc>
        <w:tc>
          <w:tcPr>
            <w:tcW w:w="4814" w:type="dxa"/>
          </w:tcPr>
          <w:p w:rsidR="00D24983" w:rsidRDefault="00275C8B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Tuotteiden ja materiaalien yhteiskäyttö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ja niiden palauttaminen paikalleen käytön jälkeen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A05D2D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A05D2D">
        <w:rPr>
          <w:rFonts w:ascii="Arial" w:eastAsia="Times New Roman" w:hAnsi="Arial" w:cs="Arial"/>
          <w:b/>
          <w:sz w:val="18"/>
          <w:szCs w:val="18"/>
          <w:lang w:eastAsia="fi-FI"/>
        </w:rPr>
        <w:t>HYVINVOINTI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Henkilöstön hyvinvointi: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tyhy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ys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koulutusmahdollisuudet, vesot,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kiky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hyvinvointikartoitus</w:t>
            </w:r>
            <w:proofErr w:type="spellEnd"/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koulun johto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Oppilaiden hyvinvointi: toimiva oppilashuolto ja erityisopetus</w:t>
            </w:r>
            <w:r w:rsidR="003400A1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oppilaskunnat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ohr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-henkilöstö, eritysopettaja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henkilöstö, ulkopuoliset asiantuntijat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Kiusaamisen ehkäisy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Kiva-tiimi, henkilöstö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oppilaat, oppilaskun</w:t>
            </w:r>
            <w:r w:rsidR="002335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vanhempaintoimikunta</w:t>
            </w:r>
          </w:p>
        </w:tc>
      </w:tr>
    </w:tbl>
    <w:p w:rsidR="00675412" w:rsidRDefault="0067541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A05D2D" w:rsidRPr="00675412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675412">
        <w:rPr>
          <w:rFonts w:ascii="Arial" w:eastAsia="Times New Roman" w:hAnsi="Arial" w:cs="Arial"/>
          <w:b/>
          <w:sz w:val="18"/>
          <w:szCs w:val="18"/>
          <w:lang w:eastAsia="fi-FI"/>
        </w:rPr>
        <w:t>MUUTA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Liikenneturvallisuus: liikenneviikot, 112-päivä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vierailijat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Digivälineet: lataus ja sammutus yöksi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Koulumatkat: mahdollisuuksien mukaan kävellen ja pyöräillen, taksikäyttäytyminen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oppilaat, taksiyrittäjät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Välituntitoiminta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: 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välkkärit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liikuntavastaava, liikuttajat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Turvallinen piha, siivouspäivät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oppilaat</w:t>
            </w:r>
          </w:p>
        </w:tc>
      </w:tr>
      <w:tr w:rsidR="004B2F72" w:rsidTr="00A05D2D"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</w:tr>
    </w:tbl>
    <w:p w:rsidR="00A05D2D" w:rsidRDefault="00A05D2D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360213" w:rsidRDefault="004B2F72" w:rsidP="00360213">
      <w:pPr>
        <w:spacing w:after="384"/>
        <w:rPr>
          <w:b/>
          <w:color w:val="61316A"/>
          <w:sz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2B58DF" wp14:editId="00FD1272">
                <wp:simplePos x="0" y="0"/>
                <wp:positionH relativeFrom="column">
                  <wp:posOffset>-387522</wp:posOffset>
                </wp:positionH>
                <wp:positionV relativeFrom="paragraph">
                  <wp:posOffset>-32126</wp:posOffset>
                </wp:positionV>
                <wp:extent cx="1411590" cy="266967"/>
                <wp:effectExtent l="0" t="0" r="0" b="0"/>
                <wp:wrapNone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590" cy="266967"/>
                          <a:chOff x="0" y="0"/>
                          <a:chExt cx="1411590" cy="26696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411590" cy="26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590" h="266967">
                                <a:moveTo>
                                  <a:pt x="0" y="0"/>
                                </a:moveTo>
                                <a:lnTo>
                                  <a:pt x="1306212" y="0"/>
                                </a:lnTo>
                                <a:cubicBezTo>
                                  <a:pt x="1411590" y="0"/>
                                  <a:pt x="1411590" y="105379"/>
                                  <a:pt x="1411590" y="105379"/>
                                </a:cubicBezTo>
                                <a:lnTo>
                                  <a:pt x="1411590" y="161588"/>
                                </a:lnTo>
                                <a:cubicBezTo>
                                  <a:pt x="1411590" y="266967"/>
                                  <a:pt x="1306212" y="266967"/>
                                  <a:pt x="1306212" y="266967"/>
                                </a:cubicBezTo>
                                <a:lnTo>
                                  <a:pt x="0" y="266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53AB3" id="Group 1475" o:spid="_x0000_s1026" style="position:absolute;margin-left:-30.5pt;margin-top:-2.55pt;width:111.15pt;height:21pt;z-index:-251657216" coordsize="14115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">
                <v:shape id="Shape 14" o:spid="_x0000_s1027" style="position:absolute;width:14115;height:2669;visibility:visible;mso-wrap-style:square;v-text-anchor:top" coordsize="1411590,26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" path="m,l1306212,v105378,,105378,105379,105378,105379l1411590,161588v,105379,-105378,105379,-105378,105379l,266967,,xe" fillcolor="#61316a" stroked="f" strokeweight="0">
                  <v:stroke miterlimit="1" joinstyle="miter"/>
                  <v:path arrowok="t" textboxrect="0,0,1411590,266967"/>
                </v:shape>
              </v:group>
            </w:pict>
          </mc:Fallback>
        </mc:AlternateContent>
      </w:r>
      <w:r w:rsidR="00371E9B">
        <w:rPr>
          <w:b/>
          <w:color w:val="61316A"/>
          <w:sz w:val="27"/>
        </w:rPr>
        <w:t>&lt;</w:t>
      </w:r>
    </w:p>
    <w:p w:rsidR="004B2F72" w:rsidRPr="00360213" w:rsidRDefault="004B2F72" w:rsidP="00360213">
      <w:pPr>
        <w:spacing w:after="384"/>
        <w:rPr>
          <w:b/>
          <w:color w:val="61316A"/>
          <w:sz w:val="27"/>
        </w:rPr>
      </w:pPr>
      <w:r>
        <w:rPr>
          <w:b/>
          <w:color w:val="61316A"/>
          <w:sz w:val="27"/>
        </w:rPr>
        <w:t>Satavuon koulun</w:t>
      </w:r>
      <w:r>
        <w:rPr>
          <w:rFonts w:ascii="Calibri" w:eastAsia="Calibri" w:hAnsi="Calibri" w:cs="Calibri"/>
          <w:b/>
          <w:color w:val="61316A"/>
          <w:sz w:val="27"/>
        </w:rPr>
        <w:t xml:space="preserve"> kestävän kehityksen ohjelma</w:t>
      </w:r>
      <w:r>
        <w:rPr>
          <w:b/>
          <w:color w:val="61316A"/>
          <w:sz w:val="27"/>
        </w:rPr>
        <w:t>n painotukset 20</w:t>
      </w:r>
      <w:r w:rsidR="00294520">
        <w:rPr>
          <w:b/>
          <w:color w:val="61316A"/>
          <w:sz w:val="27"/>
        </w:rPr>
        <w:t>2</w:t>
      </w:r>
      <w:r w:rsidR="008C163A">
        <w:rPr>
          <w:b/>
          <w:color w:val="61316A"/>
          <w:sz w:val="27"/>
        </w:rPr>
        <w:t>1</w:t>
      </w:r>
      <w:r>
        <w:rPr>
          <w:b/>
          <w:color w:val="61316A"/>
          <w:sz w:val="27"/>
        </w:rPr>
        <w:t>-202</w:t>
      </w:r>
      <w:r w:rsidR="008C163A">
        <w:rPr>
          <w:b/>
          <w:color w:val="61316A"/>
          <w:sz w:val="27"/>
        </w:rPr>
        <w:t>2</w:t>
      </w:r>
    </w:p>
    <w:p w:rsidR="004B2F72" w:rsidRDefault="004B2F72" w:rsidP="004B2F72">
      <w:pPr>
        <w:tabs>
          <w:tab w:val="center" w:pos="1627"/>
          <w:tab w:val="center" w:pos="6621"/>
        </w:tabs>
        <w:spacing w:after="0"/>
      </w:pPr>
      <w:r>
        <w:tab/>
      </w:r>
      <w:r w:rsidRPr="00E401ED">
        <w:rPr>
          <w:rFonts w:ascii="Calibri" w:eastAsia="Calibri" w:hAnsi="Calibri" w:cs="Calibri"/>
          <w:b/>
          <w:sz w:val="20"/>
        </w:rPr>
        <w:t>Koulun nimi:</w:t>
      </w:r>
      <w:r>
        <w:rPr>
          <w:rFonts w:ascii="Calibri" w:eastAsia="Calibri" w:hAnsi="Calibri" w:cs="Calibri"/>
          <w:sz w:val="20"/>
        </w:rPr>
        <w:tab/>
      </w:r>
      <w:r w:rsidRPr="00E401ED">
        <w:rPr>
          <w:rFonts w:ascii="Calibri" w:eastAsia="Calibri" w:hAnsi="Calibri" w:cs="Calibri"/>
          <w:b/>
          <w:sz w:val="20"/>
        </w:rPr>
        <w:t>Vastuuhenkilön nimi:</w:t>
      </w:r>
    </w:p>
    <w:p w:rsidR="004B2F72" w:rsidRDefault="004B2F72" w:rsidP="004B2F72">
      <w:pPr>
        <w:spacing w:after="435"/>
        <w:ind w:left="1036"/>
      </w:pPr>
      <w:r>
        <w:t>Satavuon koulu</w:t>
      </w:r>
      <w:r>
        <w:tab/>
      </w:r>
      <w:r>
        <w:tab/>
      </w:r>
      <w:r>
        <w:tab/>
        <w:t xml:space="preserve">           Paula Saranen</w:t>
      </w:r>
      <w:r w:rsidR="008C163A">
        <w:t xml:space="preserve"> ja Sini Lahtinen</w:t>
      </w: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Koulun kestävän kehityksen teema: </w:t>
      </w:r>
    </w:p>
    <w:p w:rsidR="004B2F72" w:rsidRDefault="004B2F72" w:rsidP="004B2F72">
      <w:pPr>
        <w:spacing w:after="0"/>
        <w:ind w:left="1031"/>
      </w:pPr>
    </w:p>
    <w:p w:rsidR="00360213" w:rsidRDefault="004B2F72" w:rsidP="004B2F72">
      <w:pPr>
        <w:spacing w:after="0"/>
        <w:ind w:left="1031"/>
      </w:pPr>
      <w:r>
        <w:t>Lukuvuosi 20</w:t>
      </w:r>
      <w:r w:rsidR="003400A1">
        <w:t>2</w:t>
      </w:r>
      <w:r w:rsidR="00237477">
        <w:t>1</w:t>
      </w:r>
      <w:r w:rsidR="003400A1">
        <w:t>-2</w:t>
      </w:r>
      <w:r w:rsidR="00237477">
        <w:t>2</w:t>
      </w:r>
      <w:r>
        <w:t xml:space="preserve">: Kestävän kehityksen </w:t>
      </w:r>
      <w:proofErr w:type="spellStart"/>
      <w:r>
        <w:t>vuosikellon</w:t>
      </w:r>
      <w:proofErr w:type="spellEnd"/>
      <w:r w:rsidR="00237477">
        <w:t xml:space="preserve"> hyväksi havaittujen teemojen</w:t>
      </w:r>
      <w:r>
        <w:t xml:space="preserve"> </w:t>
      </w:r>
      <w:r w:rsidR="00360213">
        <w:t>vakiinnuttamine</w:t>
      </w:r>
      <w:r w:rsidR="00CA006A">
        <w:t>n</w:t>
      </w:r>
      <w:r>
        <w:t>, Keke-</w:t>
      </w:r>
      <w:r w:rsidR="00237477">
        <w:t>agenttien ja oppilaskunnan yhteistyön tiivistäminen</w:t>
      </w:r>
      <w:r>
        <w:t xml:space="preserve">, </w:t>
      </w:r>
      <w:proofErr w:type="spellStart"/>
      <w:r>
        <w:t>ulkoluokkatun</w:t>
      </w:r>
      <w:r w:rsidR="003400A1">
        <w:t>tien</w:t>
      </w:r>
      <w:proofErr w:type="spellEnd"/>
      <w:r w:rsidR="003400A1">
        <w:t xml:space="preserve"> kokeileminen</w:t>
      </w:r>
      <w:r w:rsidR="00C93D9F">
        <w:t xml:space="preserve"> ja henkilökunnan</w:t>
      </w:r>
      <w:r w:rsidR="004033D3">
        <w:t xml:space="preserve"> sisäiset</w:t>
      </w:r>
      <w:r w:rsidR="00C93D9F">
        <w:t xml:space="preserve"> koulut</w:t>
      </w:r>
      <w:r w:rsidR="004033D3">
        <w:t>ukset</w:t>
      </w:r>
      <w:r w:rsidR="00C93D9F">
        <w:t>.</w:t>
      </w:r>
      <w:r w:rsidR="00360213">
        <w:t xml:space="preserve"> </w:t>
      </w:r>
    </w:p>
    <w:p w:rsidR="00360213" w:rsidRDefault="00360213" w:rsidP="004B2F72">
      <w:pPr>
        <w:spacing w:after="0"/>
        <w:ind w:left="1031"/>
      </w:pPr>
    </w:p>
    <w:p w:rsidR="00B00C45" w:rsidRDefault="00360213" w:rsidP="004B2F72">
      <w:pPr>
        <w:spacing w:after="0"/>
        <w:ind w:left="1031"/>
      </w:pPr>
      <w:r>
        <w:t>Koulun valitut teemat</w:t>
      </w:r>
      <w:r w:rsidR="0081272F">
        <w:t xml:space="preserve"> lukuvuodelle 202</w:t>
      </w:r>
      <w:r w:rsidR="00A35ED1">
        <w:t>1</w:t>
      </w:r>
      <w:r w:rsidR="0081272F">
        <w:t>-202</w:t>
      </w:r>
      <w:r w:rsidR="00A35ED1">
        <w:t>2</w:t>
      </w:r>
      <w:r w:rsidR="0081272F">
        <w:t xml:space="preserve"> ovat</w:t>
      </w:r>
      <w:r>
        <w:t xml:space="preserve">: </w:t>
      </w:r>
      <w:r w:rsidR="00CA006A">
        <w:t>koulun s</w:t>
      </w:r>
      <w:r w:rsidR="00B00C45">
        <w:t>ome-</w:t>
      </w:r>
      <w:r w:rsidR="00CA006A">
        <w:t>kanavien</w:t>
      </w:r>
      <w:r w:rsidR="00B00C45">
        <w:t xml:space="preserve"> kehittäminen, </w:t>
      </w:r>
      <w:r w:rsidR="00CA006A">
        <w:t>kaveripenkki koulun pihalla, lähiruuan tarjoaminen sekä kehittäminen kouluruokailussa</w:t>
      </w:r>
      <w:r w:rsidR="001145EB">
        <w:t>, turvallinen koulumatka</w:t>
      </w:r>
      <w:r w:rsidR="00CA006A">
        <w:t>.</w:t>
      </w:r>
      <w:r w:rsidR="00B00C45">
        <w:t xml:space="preserve"> </w:t>
      </w:r>
    </w:p>
    <w:p w:rsidR="004B2F72" w:rsidRDefault="004B2F72" w:rsidP="00CA006A">
      <w:pPr>
        <w:spacing w:after="0"/>
      </w:pPr>
    </w:p>
    <w:p w:rsidR="004B2F72" w:rsidRDefault="004B2F72" w:rsidP="004B2F72">
      <w:pPr>
        <w:spacing w:after="180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Kouluyhteisön jäsenten mahdollisuus vaikuttaa vuoden </w:t>
      </w:r>
      <w:r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b/>
          <w:sz w:val="20"/>
        </w:rPr>
        <w:t>eemojen suunnitteluun turvataan</w:t>
      </w:r>
      <w:r>
        <w:rPr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seuraavasti:</w:t>
      </w:r>
    </w:p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Oppilaat</w:t>
      </w:r>
    </w:p>
    <w:tbl>
      <w:tblPr>
        <w:tblStyle w:val="TableGrid"/>
        <w:tblW w:w="9313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13"/>
      </w:tblGrid>
      <w:tr w:rsidR="004B2F72" w:rsidTr="00346B02">
        <w:trPr>
          <w:trHeight w:val="213"/>
        </w:trPr>
        <w:tc>
          <w:tcPr>
            <w:tcW w:w="9313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Jokaiselta luokalta valitaan yksi </w:t>
            </w:r>
            <w:r w:rsidR="00461F5A">
              <w:t>oppilas</w:t>
            </w:r>
            <w:r>
              <w:t xml:space="preserve"> Keke-</w:t>
            </w:r>
            <w:r w:rsidR="00461F5A">
              <w:t>agentiksi</w:t>
            </w:r>
            <w:r>
              <w:t xml:space="preserve">. </w:t>
            </w:r>
            <w:r w:rsidR="00360213">
              <w:t>Keke-</w:t>
            </w:r>
            <w:r w:rsidR="00461F5A">
              <w:t>agentit</w:t>
            </w:r>
            <w:r>
              <w:t xml:space="preserve"> suunnittele</w:t>
            </w:r>
            <w:r w:rsidR="00461F5A">
              <w:t>vat</w:t>
            </w:r>
            <w:r>
              <w:t xml:space="preserve"> </w:t>
            </w:r>
            <w:proofErr w:type="spellStart"/>
            <w:r>
              <w:t>vuosikello</w:t>
            </w:r>
            <w:r w:rsidR="00461F5A">
              <w:t>a</w:t>
            </w:r>
            <w:proofErr w:type="spellEnd"/>
            <w:r>
              <w:t xml:space="preserve"> ja ideoi</w:t>
            </w:r>
            <w:r w:rsidR="00461F5A">
              <w:t>vat</w:t>
            </w:r>
            <w:r>
              <w:t xml:space="preserve"> kuukausittaiset teemat</w:t>
            </w:r>
            <w:r w:rsidR="003400A1">
              <w:t xml:space="preserve"> yhdessä henkilöstön kanssa</w:t>
            </w:r>
            <w:r>
              <w:t>. Oppilaat osallistuvat teemojen toteuttamiseen, tekevät itsearviointia ja vertaisarviointia. Lukuvuoden päätteeksi arvioidaan toimintaa yhdessä oppilaiden kanssa.</w:t>
            </w:r>
            <w:r w:rsidR="00BE4575">
              <w:t xml:space="preserve"> Oppilaat pääsevät kokeilemaan ulkoluokkaopetusta mahdollisuuksien mukaan.</w:t>
            </w:r>
            <w:r w:rsidR="008E0AE0">
              <w:t xml:space="preserve"> </w:t>
            </w:r>
            <w:r w:rsidR="00461F5A">
              <w:t>Keke-toiminnasta kootaan tiedotteet ilmoitustaululle.</w:t>
            </w:r>
          </w:p>
        </w:tc>
      </w:tr>
      <w:tr w:rsidR="004B2F72" w:rsidTr="00346B02">
        <w:trPr>
          <w:trHeight w:val="39"/>
        </w:trPr>
        <w:tc>
          <w:tcPr>
            <w:tcW w:w="9313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81272F" w:rsidP="00346B02">
            <w:r>
              <w:t xml:space="preserve">Nelosluokan oppilaat toimivat päiväkodin lasten kummeina, vitoset esikoulun ja </w:t>
            </w:r>
            <w:proofErr w:type="spellStart"/>
            <w:r>
              <w:t>kutoset</w:t>
            </w:r>
            <w:proofErr w:type="spellEnd"/>
            <w:r>
              <w:t xml:space="preserve"> ekaluokan kummeina. Opettajat tukevat toimintaa</w:t>
            </w:r>
            <w:r w:rsidR="00C23CDC">
              <w:t>. Koulun pihalle tuunataan kaveripenkki. Kaveripenkillä istuu kaveri, jonka voi hakea mukaan leikkiin. Penkkiä sovelletaan myös mahdollisuuksien mukaan oppilashuoltoon.</w:t>
            </w:r>
            <w:r w:rsidR="00B016F9">
              <w:t xml:space="preserve"> Oppilaille tarjotaan lähiruokaa. Turvalliseen koulumatkaan kiinnitetään huomiota.</w:t>
            </w:r>
          </w:p>
          <w:p w:rsidR="00C23CDC" w:rsidRDefault="00C23CDC" w:rsidP="00346B02"/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Vanhemmat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Vanhemmille </w:t>
            </w:r>
            <w:r w:rsidR="00461F5A">
              <w:t>tiedotetaan</w:t>
            </w:r>
            <w:r>
              <w:t xml:space="preserve"> </w:t>
            </w:r>
            <w:proofErr w:type="spellStart"/>
            <w:r>
              <w:t>vuosikellon</w:t>
            </w:r>
            <w:proofErr w:type="spellEnd"/>
            <w:r>
              <w:t xml:space="preserve"> teem</w:t>
            </w:r>
            <w:r w:rsidR="00461F5A">
              <w:t>oista</w:t>
            </w:r>
            <w:r>
              <w:t xml:space="preserve"> kuukausittain </w:t>
            </w:r>
            <w:proofErr w:type="spellStart"/>
            <w:r>
              <w:t>wilmassa</w:t>
            </w:r>
            <w:proofErr w:type="spellEnd"/>
            <w:r>
              <w:t>. Samalla arvioidaan myös edellisen kuukauden toimintaa. Vanhemmat saavat osallistua koulun toimintaan teemapäivinä ja vanhempainyhdistyksen kautta</w:t>
            </w:r>
            <w:r w:rsidR="003400A1">
              <w:t xml:space="preserve"> koronaepidemian ohjeet huomioiden</w:t>
            </w:r>
            <w:r>
              <w:t>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proofErr w:type="spellStart"/>
            <w:r>
              <w:t>Vuosikellon</w:t>
            </w:r>
            <w:proofErr w:type="spellEnd"/>
            <w:r>
              <w:t xml:space="preserve"> teemoi</w:t>
            </w:r>
            <w:r w:rsidR="00B016F9">
              <w:t xml:space="preserve">hin </w:t>
            </w:r>
            <w:r>
              <w:t xml:space="preserve">pyritään </w:t>
            </w:r>
            <w:proofErr w:type="spellStart"/>
            <w:r>
              <w:t>osallistamaan</w:t>
            </w:r>
            <w:proofErr w:type="spellEnd"/>
            <w:r>
              <w:t xml:space="preserve"> myös vanhempia</w:t>
            </w:r>
            <w:r w:rsidR="00B016F9">
              <w:t>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Opettajat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Opettajista kootaan kestävän kehityksen </w:t>
            </w:r>
            <w:r w:rsidR="00461F5A">
              <w:t>ryhmä</w:t>
            </w:r>
            <w:r>
              <w:t xml:space="preserve">. </w:t>
            </w:r>
            <w:r w:rsidR="00C77DC4">
              <w:t xml:space="preserve">Henkilöstön kanssa </w:t>
            </w:r>
            <w:r>
              <w:t xml:space="preserve">käydään läpi </w:t>
            </w:r>
            <w:proofErr w:type="spellStart"/>
            <w:r>
              <w:t>vuosikellon</w:t>
            </w:r>
            <w:proofErr w:type="spellEnd"/>
            <w:r>
              <w:t xml:space="preserve"> teemat sekä kehitellään</w:t>
            </w:r>
            <w:r w:rsidR="00C77DC4">
              <w:t xml:space="preserve"> uusia</w:t>
            </w:r>
            <w:r>
              <w:t xml:space="preserve"> teemoja. Lukuvuoden päätteeksi arvioidaan toimintaa. Opettajia rohkaistaan kokeilemaan ulkona</w:t>
            </w:r>
            <w:r w:rsidR="0081272F">
              <w:t xml:space="preserve"> </w:t>
            </w:r>
            <w:r>
              <w:t>opettamista.</w:t>
            </w:r>
            <w:r w:rsidR="003400A1">
              <w:t xml:space="preserve"> </w:t>
            </w:r>
            <w:r w:rsidR="00B016F9">
              <w:t>Koululla pidetään sisäisiä koulutuksia.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r>
              <w:t xml:space="preserve">Opettajat osallistuvat ja sitoutuvat </w:t>
            </w:r>
            <w:proofErr w:type="spellStart"/>
            <w:r>
              <w:t>vuosikellon</w:t>
            </w:r>
            <w:proofErr w:type="spellEnd"/>
            <w:r>
              <w:t xml:space="preserve"> toteuttamiseen kouluarjessa.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Muu henkilökunta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Siivous- ja ruokapalvelu osallistuvat</w:t>
            </w:r>
            <w:r w:rsidR="00C23CDC">
              <w:t xml:space="preserve"> </w:t>
            </w:r>
            <w:proofErr w:type="spellStart"/>
            <w:r w:rsidR="00C23CDC">
              <w:t>vuosikellon</w:t>
            </w:r>
            <w:proofErr w:type="spellEnd"/>
            <w:r>
              <w:t xml:space="preserve"> teemoihin ja toimintaan aina kun mahdollista. Henkilöstöä </w:t>
            </w:r>
            <w:r w:rsidR="00461F5A">
              <w:t>tiedotetaan</w:t>
            </w:r>
            <w:r>
              <w:t xml:space="preserve"> mm.</w:t>
            </w:r>
            <w:r w:rsidR="00275C8B">
              <w:t xml:space="preserve"> kokouksien,</w:t>
            </w:r>
            <w:r>
              <w:t xml:space="preserve"> Keke-ilmoitustaulun ja </w:t>
            </w:r>
            <w:proofErr w:type="spellStart"/>
            <w:r>
              <w:t>wilma</w:t>
            </w:r>
            <w:proofErr w:type="spellEnd"/>
            <w:r>
              <w:t>-viestien sekä kestävän kehityksen ohjelman kautta.</w:t>
            </w:r>
          </w:p>
        </w:tc>
      </w:tr>
      <w:tr w:rsidR="004B2F72" w:rsidTr="00346B02">
        <w:trPr>
          <w:trHeight w:val="45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937DA4" w:rsidP="00346B02">
            <w:r>
              <w:t>Lähiruuan tarjoamista jatketaan ja kehitellään kouluruokailussa.</w:t>
            </w:r>
          </w:p>
        </w:tc>
      </w:tr>
    </w:tbl>
    <w:p w:rsidR="00275C8B" w:rsidRPr="00E401ED" w:rsidRDefault="00275C8B" w:rsidP="00360213">
      <w:pPr>
        <w:spacing w:after="5" w:line="252" w:lineRule="auto"/>
        <w:ind w:right="2854"/>
      </w:pPr>
    </w:p>
    <w:tbl>
      <w:tblPr>
        <w:tblStyle w:val="TableGrid"/>
        <w:tblpPr w:leftFromText="141" w:rightFromText="141" w:vertAnchor="text" w:horzAnchor="margin" w:tblpXSpec="center" w:tblpY="362"/>
        <w:tblOverlap w:val="never"/>
        <w:tblW w:w="91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lastRenderedPageBreak/>
              <w:t>Keke-</w:t>
            </w:r>
            <w:r w:rsidR="00A94D68">
              <w:t>agenttien</w:t>
            </w:r>
            <w:r>
              <w:t xml:space="preserve"> kokoaminen</w:t>
            </w:r>
            <w:r w:rsidR="003400A1">
              <w:t xml:space="preserve">, </w:t>
            </w:r>
            <w:r>
              <w:t>ohjaaminen</w:t>
            </w:r>
            <w:r w:rsidR="003400A1">
              <w:t xml:space="preserve"> </w:t>
            </w:r>
            <w:r w:rsidR="00A94D68">
              <w:t xml:space="preserve">ja </w:t>
            </w:r>
            <w:r w:rsidR="00D212DB">
              <w:t>tapaamisten järkevöittäminen</w:t>
            </w:r>
            <w:r w:rsidR="008E0AE0">
              <w:t>.</w:t>
            </w:r>
          </w:p>
          <w:p w:rsidR="008E0AE0" w:rsidRDefault="00C23CDC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Kaveripenkin tuunaaminen ja käyttöönotto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4B2F72" w:rsidP="00D212DB">
            <w:pPr>
              <w:pStyle w:val="Luettelokappale"/>
              <w:numPr>
                <w:ilvl w:val="0"/>
                <w:numId w:val="4"/>
              </w:numPr>
            </w:pPr>
            <w:r>
              <w:t xml:space="preserve">Kestävän kehityksen </w:t>
            </w:r>
            <w:proofErr w:type="spellStart"/>
            <w:r>
              <w:t>vuosikellon</w:t>
            </w:r>
            <w:proofErr w:type="spellEnd"/>
            <w:r>
              <w:t xml:space="preserve"> laatiminen, teemojen kehittely, toteuttamine</w:t>
            </w:r>
            <w:r w:rsidR="00D212DB">
              <w:t>n ja tuttujen sekä koululle sopivien teemojen vakiinnuttaminen.</w:t>
            </w:r>
          </w:p>
          <w:p w:rsidR="00360213" w:rsidRDefault="00C23CDC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Turvallisen koulumatkan tukeminen, taksivalvonnat.</w:t>
            </w:r>
          </w:p>
          <w:p w:rsidR="00C23CDC" w:rsidRPr="00C23CDC" w:rsidRDefault="00C23CDC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Lähiruuan tarjoaminen ja kehittäminen kouluruokailussa.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Ulkona</w:t>
            </w:r>
            <w:r w:rsidR="0081272F">
              <w:t xml:space="preserve"> </w:t>
            </w:r>
            <w:r>
              <w:t>oppimisen kokeiluja eri luokka-asteill</w:t>
            </w:r>
            <w:r w:rsidR="00371E9B">
              <w:t>a</w:t>
            </w:r>
            <w:r w:rsidR="00C23CDC">
              <w:t xml:space="preserve"> sekä henkilöstön sisäisiä koulutuksia.</w:t>
            </w:r>
          </w:p>
        </w:tc>
      </w:tr>
    </w:tbl>
    <w:p w:rsidR="004B2F72" w:rsidRPr="00E401ED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Tavoitteemme tänä vuonna:</w:t>
      </w:r>
    </w:p>
    <w:p w:rsidR="004B2F72" w:rsidRDefault="004B2F72" w:rsidP="004B2F72">
      <w:pPr>
        <w:spacing w:after="5" w:line="252" w:lineRule="auto"/>
        <w:ind w:left="1239" w:right="2854"/>
      </w:pPr>
    </w:p>
    <w:p w:rsidR="004B2F72" w:rsidRPr="00E401ED" w:rsidRDefault="004B2F72" w:rsidP="004B2F72">
      <w:pPr>
        <w:spacing w:after="5" w:line="252" w:lineRule="auto"/>
        <w:ind w:right="285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B95212" wp14:editId="6B8E27EC">
                <wp:simplePos x="0" y="0"/>
                <wp:positionH relativeFrom="page">
                  <wp:posOffset>101537</wp:posOffset>
                </wp:positionH>
                <wp:positionV relativeFrom="page">
                  <wp:posOffset>743915</wp:posOffset>
                </wp:positionV>
                <wp:extent cx="257141" cy="53942"/>
                <wp:effectExtent l="0" t="0" r="0" b="0"/>
                <wp:wrapSquare wrapText="bothSides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41" cy="53942"/>
                          <a:chOff x="0" y="0"/>
                          <a:chExt cx="257141" cy="53942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26966"/>
                            <a:ext cx="203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51">
                                <a:moveTo>
                                  <a:pt x="2030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98" cap="flat">
                            <a:miter lim="100000"/>
                          </a:ln>
                        </wps:spPr>
                        <wps:style>
                          <a:lnRef idx="1">
                            <a:srgbClr val="6131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3014" y="0"/>
                            <a:ext cx="74127" cy="5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7" h="53942">
                                <a:moveTo>
                                  <a:pt x="0" y="0"/>
                                </a:moveTo>
                                <a:lnTo>
                                  <a:pt x="74127" y="26965"/>
                                </a:lnTo>
                                <a:lnTo>
                                  <a:pt x="0" y="53942"/>
                                </a:lnTo>
                                <a:lnTo>
                                  <a:pt x="20037" y="26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57254" id="Group 1474" o:spid="_x0000_s1026" style="position:absolute;margin-left:8pt;margin-top:58.6pt;width:20.25pt;height:4.25pt;z-index:251660288;mso-position-horizontal-relative:page;mso-position-vertical-relative:page" coordsize="257141,5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">
                <v:shape id="Shape 145" o:spid="_x0000_s1027" style="position:absolute;top:26966;width:203051;height:0;visibility:visible;mso-wrap-style:square;v-text-anchor:top" coordsize="203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" path="m203051,l,e" filled="f" strokecolor="#61316a" strokeweight=".08606mm">
                  <v:stroke miterlimit="1" joinstyle="miter"/>
                  <v:path arrowok="t" textboxrect="0,0,203051,0"/>
                </v:shape>
                <v:shape id="Shape 146" o:spid="_x0000_s1028" style="position:absolute;left:183014;width:74127;height:53942;visibility:visible;mso-wrap-style:square;v-text-anchor:top" coordsize="74127,5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" path="m,l74127,26965,,53942,20037,26965,,xe" fillcolor="#61316a" stroked="f" strokeweight="0">
                  <v:stroke miterlimit="1" joinstyle="miter"/>
                  <v:path arrowok="t" textboxrect="0,0,74127,53942"/>
                </v:shape>
                <w10:wrap type="square" anchorx="page" anchory="page"/>
              </v:group>
            </w:pict>
          </mc:Fallback>
        </mc:AlternateContent>
      </w:r>
      <w:r w:rsidRPr="00E401ED">
        <w:rPr>
          <w:b/>
          <w:sz w:val="20"/>
        </w:rPr>
        <w:t>Toimenpiteet ja aikataulu tavoitteiden saavuttamiseksi:</w:t>
      </w:r>
    </w:p>
    <w:p w:rsidR="004B2F72" w:rsidRDefault="004B2F72" w:rsidP="004B2F72">
      <w:pPr>
        <w:pStyle w:val="Luettelokappale"/>
        <w:spacing w:after="5" w:line="252" w:lineRule="auto"/>
        <w:ind w:left="1239" w:right="2854"/>
      </w:pP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2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A5F15" w:rsidRDefault="004B2F72" w:rsidP="00346B02">
            <w:r>
              <w:t>Elokuu 20</w:t>
            </w:r>
            <w:r w:rsidR="003400A1">
              <w:t>2</w:t>
            </w:r>
            <w:r w:rsidR="00D212DB">
              <w:t>1</w:t>
            </w:r>
            <w:r>
              <w:t>: valitaan Keke-</w:t>
            </w:r>
            <w:r w:rsidR="00D212DB">
              <w:t>agentit</w:t>
            </w:r>
            <w:r w:rsidR="003400A1">
              <w:t xml:space="preserve">, </w:t>
            </w:r>
            <w:r w:rsidR="00D212DB">
              <w:t>jotka kokoontuvat säännöllisesti</w:t>
            </w:r>
            <w:r w:rsidR="0080507D">
              <w:t xml:space="preserve">. </w:t>
            </w:r>
            <w:r w:rsidR="00D212DB">
              <w:t>Päivitetään kestävän kehityksen ohjelma</w:t>
            </w:r>
            <w:r w:rsidR="006071B6">
              <w:t xml:space="preserve"> opettajien kanssa oppilaiden kuulemisen jälkeen.</w:t>
            </w:r>
            <w:r w:rsidR="00B016F9">
              <w:t xml:space="preserve"> Tiedotetaan koteja.</w:t>
            </w:r>
          </w:p>
          <w:p w:rsidR="004B2F72" w:rsidRDefault="004B2F72" w:rsidP="00346B02"/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C23CDC" w:rsidP="00346B02">
            <w:r>
              <w:t>Syyskuu 2021: Kummit tapaavat toisensa rajoitukset huomioiden.</w:t>
            </w:r>
          </w:p>
          <w:p w:rsidR="004F2A11" w:rsidRDefault="004F2A11" w:rsidP="00346B02">
            <w:r>
              <w:t>Syksy 2021: Tuunataan kaveripenkki ja käynnistetään toimintaa.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D212DB">
              <w:t>1</w:t>
            </w:r>
            <w:r w:rsidR="003400A1">
              <w:t>-202</w:t>
            </w:r>
            <w:r w:rsidR="00A35ED1">
              <w:t>2</w:t>
            </w:r>
            <w:r>
              <w:t>: Toteutetaan kuukausittaiset teemat joko luokittain tai koko koulun voimin</w:t>
            </w:r>
            <w:r w:rsidR="0080507D">
              <w:t>.</w:t>
            </w:r>
            <w:r w:rsidR="00360213">
              <w:t xml:space="preserve"> Kehitetään ja otetaan käytäntöön koulun valitsemia teemoja.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Toukokuu 202</w:t>
            </w:r>
            <w:r w:rsidR="00A35ED1">
              <w:t>2</w:t>
            </w:r>
            <w:r>
              <w:t>: Arvioidaan toimintaa oppilaiden ja henkilökunnan kesken.</w:t>
            </w:r>
            <w:r w:rsidR="00360213">
              <w:t xml:space="preserve"> Toimintaa arvioidaan myös jatkuvasti koko lukuvuoden ajan.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A35ED1">
              <w:t>1</w:t>
            </w:r>
            <w:r w:rsidR="003400A1">
              <w:t>-202</w:t>
            </w:r>
            <w:r w:rsidR="00A35ED1">
              <w:t>2</w:t>
            </w:r>
            <w:r w:rsidR="003400A1">
              <w:t>:</w:t>
            </w:r>
            <w:r>
              <w:t xml:space="preserve"> Pidetään mahdollisuuksien mukaan </w:t>
            </w:r>
            <w:proofErr w:type="spellStart"/>
            <w:r>
              <w:t>ulkoluokkatunteja</w:t>
            </w:r>
            <w:proofErr w:type="spellEnd"/>
            <w:r w:rsidR="004F2A11">
              <w:t xml:space="preserve"> ja</w:t>
            </w:r>
            <w:r w:rsidR="00F335D5">
              <w:t xml:space="preserve"> kummitoimintaa aktiivisena koronarajoitukset huomioiden</w:t>
            </w:r>
            <w:r w:rsidR="008E0AE0">
              <w:t>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2020-2021</w:t>
            </w:r>
            <w:r>
              <w:t xml:space="preserve">: </w:t>
            </w:r>
            <w:r w:rsidR="00A35ED1">
              <w:t>Tiedotetaan</w:t>
            </w:r>
            <w:r>
              <w:t xml:space="preserve"> toiminnasta vanhempia sekä muita toimijoita </w:t>
            </w:r>
            <w:proofErr w:type="spellStart"/>
            <w:r>
              <w:t>wilman</w:t>
            </w:r>
            <w:proofErr w:type="spellEnd"/>
            <w:r>
              <w:t xml:space="preserve"> ja koulun some-kanavien kautta.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</w:tbl>
    <w:p w:rsidR="004B2F72" w:rsidRDefault="004B2F72" w:rsidP="004B2F72">
      <w:pPr>
        <w:spacing w:after="5" w:line="252" w:lineRule="auto"/>
        <w:ind w:right="2854"/>
        <w:rPr>
          <w:b/>
          <w:sz w:val="20"/>
        </w:rPr>
      </w:pP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Näin arvioimme onnistumistamme: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Oppilaat tekevät itse- ja vertaisarviointia läpi lukuvuoden.</w:t>
            </w:r>
            <w:r w:rsidR="0080507D">
              <w:t xml:space="preserve"> </w:t>
            </w:r>
            <w:r w:rsidR="00C77DC4">
              <w:t>Henkilökunnalla, o</w:t>
            </w:r>
            <w:r w:rsidR="0080507D">
              <w:t>ppilailla</w:t>
            </w:r>
            <w:r w:rsidR="00275C8B">
              <w:t xml:space="preserve"> ja huoltajilla</w:t>
            </w:r>
            <w:r w:rsidR="0080507D">
              <w:t xml:space="preserve"> teetetään</w:t>
            </w:r>
            <w:r w:rsidR="00B016F9">
              <w:t xml:space="preserve"> tarvittaessa</w:t>
            </w:r>
            <w:r w:rsidR="00360213">
              <w:t xml:space="preserve"> kestävän kehityksen kartoitus.</w:t>
            </w:r>
          </w:p>
        </w:tc>
      </w:tr>
      <w:tr w:rsidR="004B2F72" w:rsidTr="00346B02">
        <w:trPr>
          <w:trHeight w:val="447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Toimintaa kehitetään ja arvioidaan lukuvuoden aikana.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Toukokuussa 202</w:t>
            </w:r>
            <w:r w:rsidR="00D212DB">
              <w:t>2</w:t>
            </w:r>
            <w:r>
              <w:t xml:space="preserve"> arvioidaan</w:t>
            </w:r>
            <w:r w:rsidR="00B016F9">
              <w:t xml:space="preserve"> toimintaa</w:t>
            </w:r>
            <w:r>
              <w:t xml:space="preserve"> Keke-</w:t>
            </w:r>
            <w:r w:rsidR="00D212DB">
              <w:t>agenttien</w:t>
            </w:r>
            <w:r w:rsidR="00275C8B">
              <w:t xml:space="preserve"> sekä henkilöstön</w:t>
            </w:r>
            <w:r>
              <w:t xml:space="preserve"> </w:t>
            </w:r>
            <w:proofErr w:type="gramStart"/>
            <w:r>
              <w:t>kanssa</w:t>
            </w:r>
            <w:r w:rsidR="00B016F9">
              <w:t>.</w:t>
            </w:r>
            <w:r>
              <w:t>.</w:t>
            </w:r>
            <w:proofErr w:type="gramEnd"/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Lukuvuoden arvioinnin yhteydessä arvioidaan ja suunnitellaan seuraavan vuoden toimintaa henkilöstön kesken sekä päivitetään kestävän kehityksen suunnitelma.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Pr="0081272F" w:rsidRDefault="0081272F" w:rsidP="0081272F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Henkilöstö arvioi toimintaansa, </w:t>
            </w:r>
            <w:proofErr w:type="spellStart"/>
            <w:r>
              <w:rPr>
                <w:rFonts w:eastAsiaTheme="minorEastAsia"/>
              </w:rPr>
              <w:t>ys</w:t>
            </w:r>
            <w:proofErr w:type="spellEnd"/>
            <w:r>
              <w:rPr>
                <w:rFonts w:eastAsiaTheme="minorEastAsia"/>
              </w:rPr>
              <w:t>-kokouksista varataan aikaa kestävän kehityksen työlle ja arvioinnille.</w:t>
            </w:r>
          </w:p>
        </w:tc>
      </w:tr>
    </w:tbl>
    <w:p w:rsidR="00145B49" w:rsidRPr="00145B49" w:rsidRDefault="00145B49" w:rsidP="00D212DB">
      <w:pPr>
        <w:spacing w:after="5" w:line="252" w:lineRule="auto"/>
        <w:ind w:right="2854"/>
      </w:pPr>
    </w:p>
    <w:p w:rsidR="00145B49" w:rsidRDefault="00145B49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Pr="00145B49" w:rsidRDefault="004F2A11" w:rsidP="00145B49">
      <w:pPr>
        <w:spacing w:after="5" w:line="252" w:lineRule="auto"/>
        <w:ind w:left="389" w:right="2854"/>
      </w:pPr>
    </w:p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lastRenderedPageBreak/>
        <w:t>Vastuuhenkilöt: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Paula Saranen</w:t>
            </w:r>
            <w:r w:rsidR="00D212DB">
              <w:t>, Sini Lahtinen</w:t>
            </w:r>
            <w:r w:rsidR="003400A1">
              <w:t xml:space="preserve"> ja Tuula Leppäkari</w:t>
            </w:r>
          </w:p>
        </w:tc>
      </w:tr>
      <w:tr w:rsidR="004B2F72" w:rsidTr="008E0AE0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5B3F79" w:rsidP="00346B02">
            <w:r>
              <w:t xml:space="preserve">Keke-tiimi: Paula Saranen, </w:t>
            </w:r>
            <w:r w:rsidR="00D212DB">
              <w:t xml:space="preserve">Sini Lahtinen, Milla </w:t>
            </w:r>
            <w:proofErr w:type="spellStart"/>
            <w:r w:rsidR="00D212DB">
              <w:t>Tuikka</w:t>
            </w:r>
            <w:proofErr w:type="spellEnd"/>
            <w:r>
              <w:t>, Kirsi Tammela-Koriseva</w:t>
            </w:r>
          </w:p>
        </w:tc>
      </w:tr>
      <w:tr w:rsidR="008E0AE0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8E0AE0" w:rsidRDefault="005B3F79" w:rsidP="00346B02">
            <w:r>
              <w:t>Keke-</w:t>
            </w:r>
            <w:r w:rsidR="00D212DB">
              <w:t>agentit</w:t>
            </w:r>
          </w:p>
        </w:tc>
      </w:tr>
    </w:tbl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Resurssit: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D212DB" w:rsidP="00346B02">
            <w:r>
              <w:t>Keke-agenttien toiminnan ja kestävän kehityksen ohjauksen korvaus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proofErr w:type="spellStart"/>
            <w:r>
              <w:t>Ys</w:t>
            </w:r>
            <w:proofErr w:type="spellEnd"/>
            <w:r>
              <w:t xml:space="preserve">-aika, Vesot, </w:t>
            </w:r>
            <w:proofErr w:type="spellStart"/>
            <w:r>
              <w:t>Kiky</w:t>
            </w:r>
            <w:proofErr w:type="spellEnd"/>
            <w:r>
              <w:t>, Keke-koulutukset</w:t>
            </w:r>
            <w:r w:rsidR="008E0AE0">
              <w:t>, Liikkuva koulu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D212DB" w:rsidP="00346B02"/>
        </w:tc>
      </w:tr>
      <w:tr w:rsidR="004B2F72" w:rsidTr="00B064D3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  <w:tr w:rsidR="00B064D3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B064D3" w:rsidRDefault="00B064D3" w:rsidP="00346B02"/>
          <w:p w:rsidR="00B064D3" w:rsidRDefault="00B064D3" w:rsidP="00346B02"/>
        </w:tc>
      </w:tr>
    </w:tbl>
    <w:p w:rsidR="00B064D3" w:rsidRDefault="00B064D3" w:rsidP="00B064D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sectPr w:rsidR="00B064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EA7"/>
    <w:multiLevelType w:val="hybridMultilevel"/>
    <w:tmpl w:val="51908A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03F85"/>
    <w:multiLevelType w:val="hybridMultilevel"/>
    <w:tmpl w:val="DC10EF16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55AF6"/>
    <w:multiLevelType w:val="hybridMultilevel"/>
    <w:tmpl w:val="CB18D2EA"/>
    <w:lvl w:ilvl="0" w:tplc="FDD6BDF2">
      <w:start w:val="4"/>
      <w:numFmt w:val="decimal"/>
      <w:lvlText w:val="%1."/>
      <w:lvlJc w:val="left"/>
      <w:pPr>
        <w:ind w:left="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60F4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21D98">
      <w:start w:val="1"/>
      <w:numFmt w:val="lowerRoman"/>
      <w:lvlText w:val="%3"/>
      <w:lvlJc w:val="left"/>
      <w:pPr>
        <w:ind w:left="19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EA2A8">
      <w:start w:val="1"/>
      <w:numFmt w:val="decimal"/>
      <w:lvlText w:val="%4"/>
      <w:lvlJc w:val="left"/>
      <w:pPr>
        <w:ind w:left="2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62A3E">
      <w:start w:val="1"/>
      <w:numFmt w:val="lowerLetter"/>
      <w:lvlText w:val="%5"/>
      <w:lvlJc w:val="left"/>
      <w:pPr>
        <w:ind w:left="3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2A39C">
      <w:start w:val="1"/>
      <w:numFmt w:val="lowerRoman"/>
      <w:lvlText w:val="%6"/>
      <w:lvlJc w:val="left"/>
      <w:pPr>
        <w:ind w:left="4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AF90C">
      <w:start w:val="1"/>
      <w:numFmt w:val="decimal"/>
      <w:lvlText w:val="%7"/>
      <w:lvlJc w:val="left"/>
      <w:pPr>
        <w:ind w:left="4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0D214">
      <w:start w:val="1"/>
      <w:numFmt w:val="lowerLetter"/>
      <w:lvlText w:val="%8"/>
      <w:lvlJc w:val="left"/>
      <w:pPr>
        <w:ind w:left="5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A0E566">
      <w:start w:val="1"/>
      <w:numFmt w:val="lowerRoman"/>
      <w:lvlText w:val="%9"/>
      <w:lvlJc w:val="left"/>
      <w:pPr>
        <w:ind w:left="63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60E39"/>
    <w:multiLevelType w:val="multilevel"/>
    <w:tmpl w:val="C73C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3186F"/>
    <w:multiLevelType w:val="hybridMultilevel"/>
    <w:tmpl w:val="4860D9E6"/>
    <w:lvl w:ilvl="0" w:tplc="456A81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41EB"/>
    <w:multiLevelType w:val="multilevel"/>
    <w:tmpl w:val="26A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3"/>
    <w:rsid w:val="000E352E"/>
    <w:rsid w:val="001145EB"/>
    <w:rsid w:val="00145B49"/>
    <w:rsid w:val="00156E45"/>
    <w:rsid w:val="0017584A"/>
    <w:rsid w:val="001A3E17"/>
    <w:rsid w:val="001A6D36"/>
    <w:rsid w:val="00232CB3"/>
    <w:rsid w:val="0023350D"/>
    <w:rsid w:val="00237477"/>
    <w:rsid w:val="0027476E"/>
    <w:rsid w:val="00275C8B"/>
    <w:rsid w:val="00294520"/>
    <w:rsid w:val="003400A1"/>
    <w:rsid w:val="00346B02"/>
    <w:rsid w:val="0035618F"/>
    <w:rsid w:val="00360213"/>
    <w:rsid w:val="00371E9B"/>
    <w:rsid w:val="004033D3"/>
    <w:rsid w:val="00461F5A"/>
    <w:rsid w:val="004B2F72"/>
    <w:rsid w:val="004C305C"/>
    <w:rsid w:val="004F2A11"/>
    <w:rsid w:val="00525D15"/>
    <w:rsid w:val="005B3F79"/>
    <w:rsid w:val="006071B6"/>
    <w:rsid w:val="0062292C"/>
    <w:rsid w:val="00664038"/>
    <w:rsid w:val="00675412"/>
    <w:rsid w:val="006F7BAE"/>
    <w:rsid w:val="0080507D"/>
    <w:rsid w:val="0081272F"/>
    <w:rsid w:val="008A5F15"/>
    <w:rsid w:val="008C163A"/>
    <w:rsid w:val="008E0AE0"/>
    <w:rsid w:val="008E4520"/>
    <w:rsid w:val="00937DA4"/>
    <w:rsid w:val="0096255E"/>
    <w:rsid w:val="00962A6C"/>
    <w:rsid w:val="009C52C0"/>
    <w:rsid w:val="00A05D2D"/>
    <w:rsid w:val="00A2720F"/>
    <w:rsid w:val="00A35ED1"/>
    <w:rsid w:val="00A57A28"/>
    <w:rsid w:val="00A94D68"/>
    <w:rsid w:val="00AF7997"/>
    <w:rsid w:val="00B00C45"/>
    <w:rsid w:val="00B016F9"/>
    <w:rsid w:val="00B064D3"/>
    <w:rsid w:val="00B717BF"/>
    <w:rsid w:val="00B76312"/>
    <w:rsid w:val="00BE4575"/>
    <w:rsid w:val="00C23CDC"/>
    <w:rsid w:val="00C31D09"/>
    <w:rsid w:val="00C77DC4"/>
    <w:rsid w:val="00C93D9F"/>
    <w:rsid w:val="00CA006A"/>
    <w:rsid w:val="00D212DB"/>
    <w:rsid w:val="00D24983"/>
    <w:rsid w:val="00D84196"/>
    <w:rsid w:val="00EF2A9C"/>
    <w:rsid w:val="00F07D42"/>
    <w:rsid w:val="00F335D5"/>
    <w:rsid w:val="00F62951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8D8F"/>
  <w15:chartTrackingRefBased/>
  <w15:docId w15:val="{A221F678-4DFD-413A-BCAE-DFA05FD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249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2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B2F72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4B2F72"/>
    <w:pPr>
      <w:ind w:left="720"/>
      <w:contextualSpacing/>
    </w:pPr>
    <w:rPr>
      <w:rFonts w:ascii="Calibri" w:eastAsia="Calibri" w:hAnsi="Calibri" w:cs="Calibri"/>
      <w:color w:val="000000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064D3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064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912</Words>
  <Characters>7395</Characters>
  <Application>Microsoft Office Word</Application>
  <DocSecurity>0</DocSecurity>
  <Lines>61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/>
      <vt:lpstr>    Kestävän kehityksen ohjelma lukuvuodelle 2021-2022</vt:lpstr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Saranen</dc:creator>
  <cp:keywords/>
  <dc:description/>
  <cp:lastModifiedBy>Paula Saranen</cp:lastModifiedBy>
  <cp:revision>16</cp:revision>
  <dcterms:created xsi:type="dcterms:W3CDTF">2021-08-31T11:19:00Z</dcterms:created>
  <dcterms:modified xsi:type="dcterms:W3CDTF">2021-09-03T13:08:00Z</dcterms:modified>
</cp:coreProperties>
</file>