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71"/>
        <w:gridCol w:w="590"/>
        <w:gridCol w:w="1350"/>
        <w:gridCol w:w="284"/>
        <w:gridCol w:w="1571"/>
        <w:gridCol w:w="391"/>
        <w:gridCol w:w="2792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957454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Kirjallisuus ja kestävä kehitys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957454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3 päivää syksyllä ja 2 keväällä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3 a ja b sekä 4. luokka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AI, MU, YM, KU, KS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Oppilaat ovat aktiivisesti mukana koko oppimisprosessissa.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3451B">
              <w:rPr>
                <w:rFonts w:ascii="Tahoma" w:hAnsi="Tahoma" w:cs="Tahoma"/>
                <w:sz w:val="16"/>
                <w:szCs w:val="16"/>
              </w:rPr>
            </w:r>
            <w:r w:rsidR="00B345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Syksyn kokonaisuus muodostuu teatteriretken ympärille</w:t>
            </w:r>
            <w:r w:rsidR="001E0BD9">
              <w:rPr>
                <w:rFonts w:cs="Tahoma"/>
              </w:rPr>
              <w:t>. Tutustumme äänimaisemiin ja teemme niitä myös itse kirjallisuuden pohjalta. Kestävä kehitys huomioidaan lainaamalla ja kierrättämällä kirjoja sekä mahdollisesti kuvataiteen ja käsityön tuotoksissa. Kevään kokonaisuudessa huomioidaan myös Kalevalan päivä, koska oppi</w:t>
            </w:r>
            <w:r w:rsidR="00BD487E">
              <w:rPr>
                <w:rFonts w:cs="Tahoma"/>
              </w:rPr>
              <w:t>mis</w:t>
            </w:r>
            <w:r w:rsidR="001E0BD9">
              <w:rPr>
                <w:rFonts w:cs="Tahoma"/>
              </w:rPr>
              <w:t xml:space="preserve">kokonaisuus sijoittuu päivän ympärille. 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ryhmätyö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 xml:space="preserve">12.-14.11.2019 ja 28.2. ja 2.3.2020 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57454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-rakentava ja vastuullinen vuorovaikutus erilaisissa ympäristöissä</w:t>
            </w:r>
          </w:p>
          <w:p w:rsidR="00957454" w:rsidRDefault="00957454" w:rsidP="000B02C9">
            <w:pPr>
              <w:rPr>
                <w:rFonts w:cs="Tahoma"/>
              </w:rPr>
            </w:pPr>
            <w:r>
              <w:rPr>
                <w:rFonts w:cs="Tahoma"/>
              </w:rPr>
              <w:t>-kehittää monilukutaitoa ja tutustuttaa kirjallisuuteen ja kulttuuriin</w:t>
            </w:r>
          </w:p>
          <w:p w:rsidR="00957454" w:rsidRDefault="00957454" w:rsidP="000B02C9">
            <w:pPr>
              <w:rPr>
                <w:rFonts w:cs="Tahoma"/>
              </w:rPr>
            </w:pPr>
            <w:r>
              <w:rPr>
                <w:rFonts w:cs="Tahoma"/>
              </w:rPr>
              <w:t>- lukuharrastukseen innostaminen</w:t>
            </w:r>
          </w:p>
          <w:p w:rsidR="00957454" w:rsidRDefault="00957454" w:rsidP="000B02C9">
            <w:pPr>
              <w:rPr>
                <w:rFonts w:cs="Tahoma"/>
              </w:rPr>
            </w:pPr>
            <w:r>
              <w:rPr>
                <w:rFonts w:cs="Tahoma"/>
              </w:rPr>
              <w:t>- itsensä ilmaiseminen monipuolisesti ja luovuuden kehittäminen</w:t>
            </w:r>
          </w:p>
          <w:p w:rsidR="00957454" w:rsidRDefault="00957454" w:rsidP="000B02C9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- ääniympäristöihin tutustuminen ja omien ääniympäristöjen tuottaminen</w:t>
            </w:r>
          </w:p>
          <w:p w:rsidR="00957454" w:rsidRDefault="00957454" w:rsidP="000B02C9">
            <w:pPr>
              <w:rPr>
                <w:rFonts w:cs="Tahoma"/>
              </w:rPr>
            </w:pPr>
            <w:r>
              <w:rPr>
                <w:rFonts w:cs="Tahoma"/>
              </w:rPr>
              <w:t>- kannustaa oppilasta havainnoimaan taidetta moniaistisesti</w:t>
            </w:r>
          </w:p>
          <w:p w:rsidR="00350669" w:rsidRDefault="00957454" w:rsidP="000B02C9">
            <w:pPr>
              <w:rPr>
                <w:rFonts w:cs="Tahoma"/>
              </w:rPr>
            </w:pPr>
            <w:r>
              <w:rPr>
                <w:rFonts w:cs="Tahoma"/>
              </w:rPr>
              <w:t>- innostaa oppilasta ilmaisemaan havaintojaan ja ajatuksiaan kuvallisesti tai muita tapoja käyttäen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ryhmätyö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kirjasto, virtuaaliretket taiteen pariin, Porin Kaupunginteatteri sekä koulu- ja lähiympäristö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E0BD9">
              <w:rPr>
                <w:rFonts w:cs="Tahoma"/>
              </w:rPr>
              <w:t>Koko oppimisprosessia ja sen valmiita tuloksia arvioidaan. Opettajat ja lapset arvioivat.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valmiit tuotokset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57454">
              <w:rPr>
                <w:rFonts w:cs="Tahoma"/>
              </w:rPr>
              <w:t>havainnointi ja ryhmäarviointi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E0BD9">
              <w:rPr>
                <w:rFonts w:cs="Tahoma"/>
              </w:rPr>
              <w:t>vuorovaikutus- ja työskentelytaidot, valmiit tuotokset, itsearviointi, ryhmäarviointi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195436"/>
    <w:rsid w:val="001E0BD9"/>
    <w:rsid w:val="00247F8E"/>
    <w:rsid w:val="00350669"/>
    <w:rsid w:val="0037202B"/>
    <w:rsid w:val="003A792D"/>
    <w:rsid w:val="003B5D94"/>
    <w:rsid w:val="004608E8"/>
    <w:rsid w:val="00490FC6"/>
    <w:rsid w:val="004F15E1"/>
    <w:rsid w:val="00706457"/>
    <w:rsid w:val="007300A1"/>
    <w:rsid w:val="007A18DC"/>
    <w:rsid w:val="009317C6"/>
    <w:rsid w:val="00957454"/>
    <w:rsid w:val="00B3451B"/>
    <w:rsid w:val="00BB4F1B"/>
    <w:rsid w:val="00BD487E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28A73-3058-47A5-A04B-3028F37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Kiili Arto</dc:creator>
  <cp:lastModifiedBy>Lehtinen Marika</cp:lastModifiedBy>
  <cp:revision>2</cp:revision>
  <cp:lastPrinted>2016-02-18T10:47:00Z</cp:lastPrinted>
  <dcterms:created xsi:type="dcterms:W3CDTF">2019-09-27T13:08:00Z</dcterms:created>
  <dcterms:modified xsi:type="dcterms:W3CDTF">2019-09-27T13:08:00Z</dcterms:modified>
</cp:coreProperties>
</file>