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D7" w:rsidRPr="00706690" w:rsidRDefault="004F7ED7" w:rsidP="004F7ED7">
      <w:pPr>
        <w:pStyle w:val="Otsikko3"/>
        <w:rPr>
          <w:b/>
          <w:sz w:val="28"/>
          <w:szCs w:val="28"/>
          <w:lang w:val="fi-FI" w:eastAsia="en-US"/>
        </w:rPr>
      </w:pPr>
      <w:bookmarkStart w:id="0" w:name="_Toc394326444"/>
      <w:bookmarkStart w:id="1" w:name="_Toc394326670"/>
      <w:bookmarkStart w:id="2" w:name="_Toc412548964"/>
      <w:r w:rsidRPr="00706690">
        <w:rPr>
          <w:b/>
          <w:sz w:val="28"/>
          <w:szCs w:val="28"/>
          <w:lang w:val="fi-FI" w:eastAsia="en-US"/>
        </w:rPr>
        <w:t>Äidinkieli, suomi</w:t>
      </w:r>
      <w:bookmarkEnd w:id="0"/>
      <w:bookmarkEnd w:id="1"/>
      <w:bookmarkEnd w:id="2"/>
    </w:p>
    <w:p w:rsidR="004F7ED7" w:rsidRPr="00706690" w:rsidRDefault="004F7ED7" w:rsidP="00706690">
      <w:pPr>
        <w:spacing w:line="276" w:lineRule="auto"/>
        <w:rPr>
          <w:b/>
          <w:lang w:val="fi-FI" w:eastAsia="en-US"/>
        </w:rPr>
      </w:pPr>
      <w:r w:rsidRPr="00503FBA">
        <w:rPr>
          <w:b/>
          <w:lang w:val="fi-FI" w:eastAsia="en-US"/>
        </w:rPr>
        <w:t xml:space="preserve">Pakolliset osaamistavoitteet, 5 </w:t>
      </w:r>
      <w:proofErr w:type="spellStart"/>
      <w:r w:rsidRPr="00503FBA">
        <w:rPr>
          <w:b/>
          <w:lang w:val="fi-FI" w:eastAsia="en-US"/>
        </w:rPr>
        <w:t>osp</w:t>
      </w:r>
      <w:proofErr w:type="spellEnd"/>
    </w:p>
    <w:p w:rsidR="004F7ED7" w:rsidRPr="00503FBA" w:rsidRDefault="004F7ED7" w:rsidP="004F7ED7">
      <w:pPr>
        <w:spacing w:after="200" w:line="276" w:lineRule="auto"/>
        <w:rPr>
          <w:lang w:val="fi-FI"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644"/>
        <w:gridCol w:w="2491"/>
        <w:gridCol w:w="2580"/>
      </w:tblGrid>
      <w:tr w:rsidR="004F7ED7" w:rsidRPr="00503FBA" w:rsidTr="004F7ED7"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ARVIOINNIN KOHDE</w:t>
            </w:r>
          </w:p>
        </w:tc>
        <w:tc>
          <w:tcPr>
            <w:tcW w:w="7715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ARVIOINTIKRITEERIT</w:t>
            </w:r>
          </w:p>
        </w:tc>
      </w:tr>
      <w:tr w:rsidR="004F7ED7" w:rsidRPr="00503FBA" w:rsidTr="004F7ED7"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Tyydyttävä T1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Hyvä H2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Kiitettävä K3</w:t>
            </w:r>
          </w:p>
        </w:tc>
      </w:tr>
      <w:tr w:rsidR="004F7ED7" w:rsidRPr="00503FBA" w:rsidTr="004F7ED7"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7715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Opiskelija</w:t>
            </w:r>
          </w:p>
        </w:tc>
      </w:tr>
      <w:tr w:rsidR="004F7ED7" w:rsidRPr="004F7ED7" w:rsidTr="004F7ED7">
        <w:trPr>
          <w:trHeight w:val="1027"/>
        </w:trPr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Viestintä- ja vuorovaikutustilanteissa toimiminen</w:t>
            </w: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ilmaisee asiallisesti mielipiteensä yhteistyö- ja ryhmätilanteissa 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perustelee monipuolisesti mielipiteensä ja väitteensä yhteistyö- ja ryhmätilanteissa  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580" w:type="dxa"/>
          </w:tcPr>
          <w:p w:rsidR="004F7ED7" w:rsidRPr="00503FBA" w:rsidRDefault="004F7ED7" w:rsidP="00706690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perustelee monipuolisesti näkemyksiään ja toimii erilaisissa vuorovaikutustilanteissa asiakaslähtöisesti, joustavasti ja vakuuttavasti</w:t>
            </w:r>
          </w:p>
        </w:tc>
      </w:tr>
      <w:tr w:rsidR="004F7ED7" w:rsidRPr="004F7ED7" w:rsidTr="004F7ED7">
        <w:trPr>
          <w:trHeight w:val="1404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osallistuu keskusteluun käyttämällä puheenvuoroja 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strike/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osallistuu keskusteluun, vie keskustelua tavoitteen suunnassa eteenpäin 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strike/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osallistuu aktiivisesti ja rakentavasti keskusteluun ja kantaa osaltaan vastuuta ryhmätilanteissa viestintäilmapiiristä </w:t>
            </w:r>
          </w:p>
        </w:tc>
      </w:tr>
      <w:tr w:rsidR="004F7ED7" w:rsidRPr="004F7ED7" w:rsidTr="004F7ED7">
        <w:trPr>
          <w:trHeight w:val="1396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toimii tarkoituksenmukaisella tavalla työelämän vuorovaikutustilanteissa 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asiallisesti ja kohteliaasti erilaisissa vuorovaikutustilanteissa ja työhön liittyvissä asiakas- ja ryhmätilanteissa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joustavasti ja rakentavasti erilaisissa työhön liittyvissä asiakas- ja ryhmätilanteissa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</w:tr>
      <w:tr w:rsidR="004F7ED7" w:rsidRPr="004F7ED7" w:rsidTr="004F7ED7">
        <w:trPr>
          <w:trHeight w:val="1776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pitää lyhyen esityksen käyttäen tilanteen vaatimaa kieltä ja asiatyyliä 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pitää erilaisia esityksiä käyttäen tilanteen vaatimaa asiatyyliä ja alan termistöä 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oman alansa viestintätilanteissa joustavasti ja pitää erilaisia esityksiä tilanteen ja oman alan edellyttämällä tavalla</w:t>
            </w:r>
          </w:p>
        </w:tc>
      </w:tr>
      <w:tr w:rsidR="004F7ED7" w:rsidRPr="004F7ED7" w:rsidTr="004F7ED7">
        <w:trPr>
          <w:trHeight w:val="1995"/>
        </w:trPr>
        <w:tc>
          <w:tcPr>
            <w:tcW w:w="2458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Tekstien ja tekstilajien ymmärtäminen</w:t>
            </w:r>
          </w:p>
        </w:tc>
        <w:tc>
          <w:tcPr>
            <w:tcW w:w="2644" w:type="dxa"/>
          </w:tcPr>
          <w:p w:rsidR="004F7ED7" w:rsidRPr="00503FBA" w:rsidRDefault="004F7ED7" w:rsidP="00706690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tuntee työelämän tekstilajeja ja vertailee niitä</w:t>
            </w:r>
          </w:p>
        </w:tc>
        <w:tc>
          <w:tcPr>
            <w:tcW w:w="2491" w:type="dxa"/>
          </w:tcPr>
          <w:p w:rsidR="004F7ED7" w:rsidRPr="00503FBA" w:rsidRDefault="004F7ED7" w:rsidP="00706690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ymmärtää ammattitaidon kannalta keskeisten tekstien päätarkoituksen ja tulkitsee tekstien merkityksiä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ymmärtää sekä tekstin </w:t>
            </w:r>
            <w:proofErr w:type="gramStart"/>
            <w:r w:rsidRPr="00503FBA">
              <w:rPr>
                <w:lang w:val="fi-FI" w:eastAsia="en-US"/>
              </w:rPr>
              <w:t>tarkoituksen ja sanoman</w:t>
            </w:r>
            <w:proofErr w:type="gramEnd"/>
            <w:r w:rsidRPr="00503FBA">
              <w:rPr>
                <w:lang w:val="fi-FI" w:eastAsia="en-US"/>
              </w:rPr>
              <w:t xml:space="preserve"> että yksityiskohtien merkityksen, tekee johtopäätöksiä ja arvioi tekstin sisältöä ja ilmaisutapaa</w:t>
            </w:r>
          </w:p>
        </w:tc>
      </w:tr>
      <w:tr w:rsidR="004F7ED7" w:rsidRPr="004F7ED7" w:rsidTr="004F7ED7">
        <w:trPr>
          <w:trHeight w:val="1384"/>
        </w:trPr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Tiedon hankkiminen</w:t>
            </w: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hakee ammattialansa kannalta keskeistä tietoa selkeistä teksteistä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hankkii ammattialaansa liittyvää tietoa erilaisista lähteistä ja arvioi lähteiden luotettavuutta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hakee tietoa erilaisista lähteistä ja vaikeaselkoisistakin teksteistä sekä arvioi kriittisesti niiden luotettavuutta</w:t>
            </w:r>
          </w:p>
        </w:tc>
      </w:tr>
      <w:tr w:rsidR="004F7ED7" w:rsidRPr="004F7ED7" w:rsidTr="004F7ED7">
        <w:trPr>
          <w:trHeight w:val="1286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noudattaa tekijänoikeuksia, mutta tarvitsee joskus ohjausta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tuntee tekijänoikeudet oikeutena ja velvoitteena, noudattaa tekijänoikeuksia mm. ilmoittamalla lähteensä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osaa viitata käyttämiinsä lähteisiin ja tarvittaessa pyytää niihin käyttöluvan</w:t>
            </w:r>
          </w:p>
        </w:tc>
      </w:tr>
      <w:tr w:rsidR="004F7ED7" w:rsidRPr="004F7ED7" w:rsidTr="004F7ED7">
        <w:trPr>
          <w:trHeight w:val="1123"/>
        </w:trPr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Mediataidot ja verkkoviestinnän hyödyntäminen </w:t>
            </w: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käyttää oman alansa ammattijulkaisuja ja mediatekstejä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käyttää keskeisiä viestintävälineitä ja osaa arvioida mediatekstejä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käyttää monipuolisesti viestintävälineitä ja arvioi kriittisesti mediatekstejä</w:t>
            </w:r>
          </w:p>
        </w:tc>
      </w:tr>
      <w:tr w:rsidR="004F7ED7" w:rsidRPr="004F7ED7" w:rsidTr="004F7ED7">
        <w:trPr>
          <w:trHeight w:val="1217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käyttää ohjattuna eri medioita ammattitaitonsa esittelyyn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tekee ammattiosaamistaan näkyväksi eri medioiden avulla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dokumentoi ja kuvaa oppimistaan ja osaamistaan eri medioiden avulla </w:t>
            </w:r>
          </w:p>
        </w:tc>
      </w:tr>
      <w:tr w:rsidR="004F7ED7" w:rsidRPr="004F7ED7" w:rsidTr="004F7ED7">
        <w:trPr>
          <w:trHeight w:val="1339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viestii digitaalisissa ympäristöissä sovittujen periaatteiden mukaisesti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viestii digitaalisissa ympäristöissä sopivaa kieltä käyttäen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viestii ammatillisuutta osoittaen digitaalisen ympäristön vuorovaikutustilanteissa</w:t>
            </w:r>
          </w:p>
        </w:tc>
      </w:tr>
      <w:tr w:rsidR="004F7ED7" w:rsidRPr="004F7ED7" w:rsidTr="004F7ED7">
        <w:trPr>
          <w:trHeight w:val="945"/>
        </w:trPr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Alan kirjallisten töiden laatiminen</w:t>
            </w: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kirjoittaa oikeinkirjoituksen perussääntöjen mukaisesti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 xml:space="preserve">käyttää sujuvaa lause- ja virkerakennetta ja jaksottaa tekstiä 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 xml:space="preserve">hallitsee kielenkäytön perusnormit sekä hioo tuottamiensa tekstien kieli- ja ulkoasua </w:t>
            </w:r>
          </w:p>
        </w:tc>
      </w:tr>
      <w:tr w:rsidR="004F7ED7" w:rsidRPr="004F7ED7" w:rsidTr="004F7ED7">
        <w:trPr>
          <w:trHeight w:val="416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 xml:space="preserve">tuottaa ammattitaidon kannalta keskeisiä tekstejä, mutta tarvitsee ajoittain ohjausta 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tuottaa ammattitaidon kannalta keskeisiä tekstejä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 xml:space="preserve">tuottaa tavoitteellisesti ja työstää tekstejään oman arvion ja palautteen pohjalta </w:t>
            </w:r>
          </w:p>
        </w:tc>
      </w:tr>
      <w:tr w:rsidR="004F7ED7" w:rsidRPr="004F7ED7" w:rsidTr="004F7ED7">
        <w:trPr>
          <w:trHeight w:val="47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laatii mallin mukaan asiakirjoja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laatii asianmukaiset asiakirjat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laatii asianmukaisia asiakirjoja ja osaa soveltaa asiakirjamalleja</w:t>
            </w:r>
          </w:p>
        </w:tc>
      </w:tr>
      <w:tr w:rsidR="004F7ED7" w:rsidRPr="004F7ED7" w:rsidTr="004F7ED7">
        <w:trPr>
          <w:trHeight w:val="1267"/>
        </w:trPr>
        <w:tc>
          <w:tcPr>
            <w:tcW w:w="2458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Luku- ja opiskelustrategioiden hyödyntäminen</w:t>
            </w: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tekee muistiinpanoja ja tiivistää ydinasioita kuullun, luetun ja nähdyn pohjalta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tekee muistiinpanoja, tiivistää hankkimaansa tietoa ja käyttää lähteitä omassa tekstissään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arvioi omaa luku- ja opiskelustrategiaansa ja parantaa sitä palautteen pohjalta</w:t>
            </w:r>
          </w:p>
        </w:tc>
      </w:tr>
      <w:tr w:rsidR="004F7ED7" w:rsidRPr="004F7ED7" w:rsidTr="004F7ED7">
        <w:trPr>
          <w:trHeight w:val="1665"/>
        </w:trPr>
        <w:tc>
          <w:tcPr>
            <w:tcW w:w="2458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Äidinkielen sekä kirjallisuuden ja muun kulttuurin merkityksen ymmärtäminen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tiedostaa äidinkielen taidon merkityksen omalla alallaan </w:t>
            </w:r>
            <w:r w:rsidRPr="00503FBA">
              <w:rPr>
                <w:lang w:val="fi-FI" w:eastAsia="en-US"/>
              </w:rPr>
              <w:tab/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ymmärtää äidinkielen merkitystä omalla alallaan ja monikielisessä työelämässä </w:t>
            </w:r>
          </w:p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osaa arvioida äidinkielen merkitystä omalla alallaan ja sen asemaa monikielisessä yhteiskunnassa sekä työelämän että yksilön kannalta </w:t>
            </w:r>
          </w:p>
        </w:tc>
      </w:tr>
      <w:tr w:rsidR="004F7ED7" w:rsidRPr="004F7ED7" w:rsidTr="004F7ED7">
        <w:trPr>
          <w:trHeight w:val="1317"/>
        </w:trPr>
        <w:tc>
          <w:tcPr>
            <w:tcW w:w="2458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tuntee esimerkkejä omaan alaan liittyvästä kirjallisuudesta tai muusta kulttuurista</w:t>
            </w: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rFonts w:cs="Courier New"/>
                <w:lang w:val="fi-FI" w:eastAsia="en-US"/>
              </w:rPr>
              <w:t>tietää, mihin kirjallisuutta tai muuta kulttuuria voi alalla käyttää</w:t>
            </w: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ymmärtää kirjallisuuden tai muun kulttuurin merkityksen alalla toimimisessa</w:t>
            </w:r>
          </w:p>
        </w:tc>
      </w:tr>
      <w:tr w:rsidR="004F7ED7" w:rsidRPr="004F7ED7" w:rsidTr="004F7ED7">
        <w:trPr>
          <w:trHeight w:val="1683"/>
        </w:trPr>
        <w:tc>
          <w:tcPr>
            <w:tcW w:w="2458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lastRenderedPageBreak/>
              <w:t>Oman äidinkielentaidon arvioiminen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644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 äidinkielen taitoaan ja lukutaitoaan saamansa palautteen pohjalta ja kertoo, mitä siinä voisi parantaa.</w:t>
            </w:r>
          </w:p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</w:p>
        </w:tc>
        <w:tc>
          <w:tcPr>
            <w:tcW w:w="2491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arvioi realistisesti omaa kielenkäyttöään ja lukutaitoaan, tunnistaa vahvuuksiaan ja kehittämiskohteitaan. </w:t>
            </w:r>
          </w:p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</w:p>
        </w:tc>
        <w:tc>
          <w:tcPr>
            <w:tcW w:w="2580" w:type="dxa"/>
          </w:tcPr>
          <w:p w:rsidR="004F7ED7" w:rsidRPr="00503FBA" w:rsidRDefault="004F7ED7" w:rsidP="004F7ED7">
            <w:pPr>
              <w:spacing w:after="200"/>
              <w:rPr>
                <w:rFonts w:cs="Courier New"/>
                <w:lang w:val="fi-FI" w:eastAsia="en-US"/>
              </w:rPr>
            </w:pPr>
            <w:r w:rsidRPr="00503FBA">
              <w:rPr>
                <w:lang w:val="fi-FI" w:eastAsia="en-US"/>
              </w:rPr>
              <w:t>arvioi realistisesti omaa kielenkäyttöään ja lukutaitoaan, tunnistaa vahvuuksiaan, kehittämiskohteitaan ja kehittää taitojaan palautteen pohjalta.</w:t>
            </w:r>
          </w:p>
        </w:tc>
      </w:tr>
    </w:tbl>
    <w:p w:rsidR="004F7ED7" w:rsidRPr="00503FBA" w:rsidRDefault="004F7ED7" w:rsidP="004F7ED7">
      <w:pPr>
        <w:spacing w:line="276" w:lineRule="auto"/>
        <w:rPr>
          <w:lang w:val="fi-FI" w:eastAsia="en-US"/>
        </w:rPr>
      </w:pPr>
    </w:p>
    <w:p w:rsidR="00EB751B" w:rsidRDefault="004F7ED7" w:rsidP="004F7ED7">
      <w:pPr>
        <w:spacing w:after="200" w:line="276" w:lineRule="auto"/>
        <w:rPr>
          <w:lang w:val="fi-FI" w:eastAsia="en-US"/>
        </w:rPr>
      </w:pPr>
      <w:r>
        <w:rPr>
          <w:lang w:val="fi-FI" w:eastAsia="en-US"/>
        </w:rPr>
        <w:t xml:space="preserve"> </w:t>
      </w:r>
    </w:p>
    <w:p w:rsidR="004F7ED7" w:rsidRPr="00503FBA" w:rsidRDefault="004F7ED7" w:rsidP="004F7ED7">
      <w:pPr>
        <w:spacing w:after="200" w:line="276" w:lineRule="auto"/>
        <w:rPr>
          <w:b/>
          <w:lang w:val="fi-FI" w:eastAsia="en-US"/>
        </w:rPr>
      </w:pPr>
      <w:bookmarkStart w:id="3" w:name="_GoBack"/>
      <w:bookmarkEnd w:id="3"/>
      <w:r w:rsidRPr="00503FBA">
        <w:rPr>
          <w:b/>
          <w:lang w:val="fi-FI" w:eastAsia="en-US"/>
        </w:rPr>
        <w:t xml:space="preserve">Valinnaiset osaamistavoitteet, 3 </w:t>
      </w:r>
      <w:proofErr w:type="spellStart"/>
      <w:r w:rsidRPr="00503FBA">
        <w:rPr>
          <w:b/>
          <w:lang w:val="fi-FI" w:eastAsia="en-US"/>
        </w:rPr>
        <w:t>osp</w:t>
      </w:r>
      <w:proofErr w:type="spellEnd"/>
    </w:p>
    <w:p w:rsidR="004F7ED7" w:rsidRPr="00503FBA" w:rsidRDefault="004F7ED7" w:rsidP="004F7ED7">
      <w:pPr>
        <w:rPr>
          <w:lang w:val="fi-FI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449"/>
        <w:gridCol w:w="32"/>
        <w:gridCol w:w="2238"/>
        <w:gridCol w:w="140"/>
        <w:gridCol w:w="2835"/>
      </w:tblGrid>
      <w:tr w:rsidR="004F7ED7" w:rsidRPr="00503FBA" w:rsidTr="004F7ED7">
        <w:tc>
          <w:tcPr>
            <w:tcW w:w="2762" w:type="dxa"/>
            <w:vMerge w:val="restart"/>
          </w:tcPr>
          <w:p w:rsidR="004F7ED7" w:rsidRPr="00503FBA" w:rsidRDefault="004F7ED7" w:rsidP="004F7ED7">
            <w:pPr>
              <w:spacing w:after="200"/>
              <w:contextualSpacing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ARVIOINNIN KOHDE</w:t>
            </w:r>
          </w:p>
        </w:tc>
        <w:tc>
          <w:tcPr>
            <w:tcW w:w="7694" w:type="dxa"/>
            <w:gridSpan w:val="5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ARVIOINTIKRITEERIT</w:t>
            </w:r>
          </w:p>
        </w:tc>
      </w:tr>
      <w:tr w:rsidR="004F7ED7" w:rsidRPr="00503FBA" w:rsidTr="004F7ED7"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81" w:type="dxa"/>
            <w:gridSpan w:val="2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Tyydyttävä T1</w:t>
            </w:r>
          </w:p>
        </w:tc>
        <w:tc>
          <w:tcPr>
            <w:tcW w:w="2238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Hyvä H2</w:t>
            </w:r>
          </w:p>
        </w:tc>
        <w:tc>
          <w:tcPr>
            <w:tcW w:w="2975" w:type="dxa"/>
            <w:gridSpan w:val="2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Kiitettävä K3</w:t>
            </w:r>
          </w:p>
        </w:tc>
      </w:tr>
      <w:tr w:rsidR="004F7ED7" w:rsidRPr="00503FBA" w:rsidTr="004F7ED7"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7694" w:type="dxa"/>
            <w:gridSpan w:val="5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Opiskelija</w:t>
            </w:r>
          </w:p>
        </w:tc>
      </w:tr>
      <w:tr w:rsidR="004F7ED7" w:rsidRPr="004F7ED7" w:rsidTr="004F7ED7">
        <w:trPr>
          <w:trHeight w:val="402"/>
        </w:trPr>
        <w:tc>
          <w:tcPr>
            <w:tcW w:w="2762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Viestintä- ja vuorovaikutustaitojen kehittäminen</w:t>
            </w: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ilmaisee asiallisesti mielipiteensä ja perustelee ne vakuuttavasti 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kohteliaasti ja joustavasti vuorovaikutustilanteissa erilaisissa ympäristöissä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ylläpitää puhuessaan vuorovaikutusta, havainnollistaa puheenvuoroaan ja rakentaa sen sisällön loogiseksi</w:t>
            </w:r>
          </w:p>
        </w:tc>
      </w:tr>
      <w:tr w:rsidR="004F7ED7" w:rsidRPr="004F7ED7" w:rsidTr="004F7ED7">
        <w:trPr>
          <w:trHeight w:val="1156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ottaa vuorovaikutuksessa toisten näkemykset huomioon 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ottaa viestinnässään huomioon vastaanottajan, tilanteen ja alansa vaatimukset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viestii rakentavasti myös ristiriita- ja ongelmatilanteissa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</w:tr>
      <w:tr w:rsidR="004F7ED7" w:rsidRPr="004F7ED7" w:rsidTr="004F7ED7">
        <w:trPr>
          <w:trHeight w:val="1620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ymmärtää henkilöiden sanattoman viestinnän merkityksen ja vaikutuksia sanoman vastaanottoon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ottaa huomioon sanattoman viestinnän vaikutuksia omassa ilmaisussaan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soveltaa sanattoman viestinnän sääntöjä vuorovaikutuksessaan ja vertailee merkityksiä myös eri kulttuurien välillä</w:t>
            </w:r>
          </w:p>
        </w:tc>
      </w:tr>
      <w:tr w:rsidR="004F7ED7" w:rsidRPr="004F7ED7" w:rsidTr="004F7ED7">
        <w:trPr>
          <w:trHeight w:val="1937"/>
        </w:trPr>
        <w:tc>
          <w:tcPr>
            <w:tcW w:w="2762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Esiintymis- ja ryhmätyötaitojen kehittäminen</w:t>
            </w: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esittää sekä spontaanin että valmistellun puheenvuoron tai puhe-esityksen itselleen tutusta aiheesta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saa puhuessaan kontaktin kuulijoihinsa ja osaa rakentaa puheenvuoronsa niin, että sitä on helppo seurata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esittää sekä spontaanin että itsenäisesti valmistellun esityksen haastavastakin aiheesta, havainnollistaa esitystään ja rakentaa sen sisällön loogiseksi </w:t>
            </w:r>
          </w:p>
        </w:tc>
      </w:tr>
      <w:tr w:rsidR="004F7ED7" w:rsidRPr="004F7ED7" w:rsidTr="004F7ED7">
        <w:trPr>
          <w:trHeight w:val="1511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toimii ryhmätyötilanteessa yhteistyöhakuisesti osana ryhmää 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vie ryhmän työskentelyä eteenpäin aktiivisesti ja arvostaa muiden näkökantoja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tunnistaa oman toimintansa vaikutukset ryhmän toimintaan ja kannustaa ryhmän muita jäseniä toimimaan</w:t>
            </w:r>
          </w:p>
        </w:tc>
      </w:tr>
      <w:tr w:rsidR="004F7ED7" w:rsidRPr="00503FBA" w:rsidTr="004F7ED7">
        <w:trPr>
          <w:trHeight w:val="591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työelämän kokous- ja neuvottelukäytäntöjen mukaisesti, mutta tarvitsee ajoittain ohjausta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noudattaa työelämän kokous- ja neuvottelukäytäntöjä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hallitsee joustavasti kokous- ja neuvottelukäytännöt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</w:tr>
      <w:tr w:rsidR="004F7ED7" w:rsidRPr="004F7ED7" w:rsidTr="004F7ED7">
        <w:trPr>
          <w:trHeight w:val="132"/>
        </w:trPr>
        <w:tc>
          <w:tcPr>
            <w:tcW w:w="2762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Ammatillinen monilukutaito ja tekstien tuottaminen </w:t>
            </w: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tuntee tekstilajien tilanteenmukaisen käytön vaatimuksia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tarkastelee tekstilajien eri ilmaisutapoja kriittisesti 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soveltaa vaihdellen eri ilmaisutapoja ja tekstilajeja omissa teksteissään ja erilaisissa kieliympäristöissä</w:t>
            </w:r>
          </w:p>
        </w:tc>
      </w:tr>
      <w:tr w:rsidR="004F7ED7" w:rsidRPr="004F7ED7" w:rsidTr="004F7ED7">
        <w:trPr>
          <w:trHeight w:val="132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käyttää mallin mukaan eri ammatillisia tekstilajeja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muokkaa tuottamiaan ammatillisia tekstejä palautteen perusteella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tekee havaintoja ammatillisista tekstilajeista, muokkaa niitä ja arvioi kielellisten valintojen vaikutuksia</w:t>
            </w:r>
          </w:p>
        </w:tc>
      </w:tr>
      <w:tr w:rsidR="004F7ED7" w:rsidRPr="004F7ED7" w:rsidTr="004F7ED7">
        <w:trPr>
          <w:trHeight w:val="988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tuottaa tekstiä ryhmänä yhdessä muiden kanssa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antaa ja vastaanottaa rakentavaa palautetta yhdessä tuotetusta tekstistä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toimii joustavasti osana kirjoitusprosessia, kun tekstiä tuotetaan yhdessä muiden kanssa</w:t>
            </w:r>
          </w:p>
        </w:tc>
      </w:tr>
      <w:tr w:rsidR="004F7ED7" w:rsidRPr="004F7ED7" w:rsidTr="004F7ED7">
        <w:trPr>
          <w:trHeight w:val="557"/>
        </w:trPr>
        <w:tc>
          <w:tcPr>
            <w:tcW w:w="2762" w:type="dxa"/>
            <w:vMerge w:val="restart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Kielen ja kulttuurin tunteminen</w:t>
            </w: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 xml:space="preserve">on perillä oman kielen ja kulttuurienvälisen viestinnän merkityksestä 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ottaa huomioon kulttuurienvälisen viestinnän omassa vuorovaikutuksessaan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soveltaa monipuolisesti kulttuurienvälistä osaamistaan ja arvostaa kulttuurista moninaisuutta</w:t>
            </w:r>
          </w:p>
        </w:tc>
      </w:tr>
      <w:tr w:rsidR="004F7ED7" w:rsidRPr="004F7ED7" w:rsidTr="004F7ED7">
        <w:trPr>
          <w:trHeight w:val="1676"/>
        </w:trPr>
        <w:tc>
          <w:tcPr>
            <w:tcW w:w="2762" w:type="dxa"/>
            <w:vMerge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</w:p>
        </w:tc>
        <w:tc>
          <w:tcPr>
            <w:tcW w:w="2449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tutustuu kirjallisuuden eri lajeihin ja muihin taidemuotoihin.</w:t>
            </w:r>
          </w:p>
        </w:tc>
        <w:tc>
          <w:tcPr>
            <w:tcW w:w="2410" w:type="dxa"/>
            <w:gridSpan w:val="3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arvioi lukemiaan kirjoja ja kokemiaan muita taidemuotoja.</w:t>
            </w:r>
          </w:p>
        </w:tc>
        <w:tc>
          <w:tcPr>
            <w:tcW w:w="2835" w:type="dxa"/>
          </w:tcPr>
          <w:p w:rsidR="004F7ED7" w:rsidRPr="00503FBA" w:rsidRDefault="004F7ED7" w:rsidP="004F7ED7">
            <w:pPr>
              <w:spacing w:after="200"/>
              <w:rPr>
                <w:lang w:val="fi-FI" w:eastAsia="en-US"/>
              </w:rPr>
            </w:pPr>
            <w:r w:rsidRPr="00503FBA">
              <w:rPr>
                <w:lang w:val="fi-FI" w:eastAsia="en-US"/>
              </w:rPr>
              <w:t>hankkii monipuolisia lukukokemuksia sekä arvioi kirjallisuuden ja muiden taidemuotojen merkitystä.</w:t>
            </w:r>
          </w:p>
        </w:tc>
      </w:tr>
    </w:tbl>
    <w:p w:rsidR="004F7ED7" w:rsidRPr="00503FBA" w:rsidRDefault="004F7ED7" w:rsidP="004F7ED7">
      <w:pPr>
        <w:spacing w:line="276" w:lineRule="auto"/>
        <w:rPr>
          <w:lang w:val="fi-FI" w:eastAsia="en-US"/>
        </w:rPr>
      </w:pPr>
    </w:p>
    <w:p w:rsidR="004F7ED7" w:rsidRPr="00503FBA" w:rsidRDefault="00706690" w:rsidP="004F7ED7">
      <w:pPr>
        <w:spacing w:after="200" w:line="276" w:lineRule="auto"/>
        <w:rPr>
          <w:lang w:val="fi-FI" w:eastAsia="en-US"/>
        </w:rPr>
      </w:pPr>
      <w:r>
        <w:rPr>
          <w:lang w:val="fi-FI" w:eastAsia="en-US"/>
        </w:rPr>
        <w:t xml:space="preserve"> </w:t>
      </w:r>
    </w:p>
    <w:p w:rsidR="004F7ED7" w:rsidRPr="004F7ED7" w:rsidRDefault="004F7ED7">
      <w:pPr>
        <w:rPr>
          <w:lang w:val="fi-FI"/>
        </w:rPr>
      </w:pPr>
    </w:p>
    <w:sectPr w:rsidR="004F7ED7" w:rsidRPr="004F7ED7" w:rsidSect="00706690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0E1"/>
    <w:multiLevelType w:val="hybridMultilevel"/>
    <w:tmpl w:val="7BB67B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239AF"/>
    <w:multiLevelType w:val="hybridMultilevel"/>
    <w:tmpl w:val="705A91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D7"/>
    <w:rsid w:val="004F7ED7"/>
    <w:rsid w:val="00706690"/>
    <w:rsid w:val="00E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5883"/>
  <w15:chartTrackingRefBased/>
  <w15:docId w15:val="{2F654D17-2D60-4B05-9BD7-E9F74716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F7ED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GB"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F7ED7"/>
    <w:pPr>
      <w:keepNext/>
      <w:spacing w:before="480" w:after="120"/>
      <w:outlineLvl w:val="2"/>
    </w:pPr>
    <w:rPr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4F7ED7"/>
    <w:rPr>
      <w:rFonts w:ascii="Garamond" w:eastAsia="Times New Roman" w:hAnsi="Garamond" w:cs="Times New Roman"/>
      <w:bCs/>
      <w:sz w:val="24"/>
      <w:szCs w:val="26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848</Words>
  <Characters>6875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Sanna Talasjärvi</cp:lastModifiedBy>
  <cp:revision>2</cp:revision>
  <dcterms:created xsi:type="dcterms:W3CDTF">2016-01-13T07:51:00Z</dcterms:created>
  <dcterms:modified xsi:type="dcterms:W3CDTF">2017-08-24T12:00:00Z</dcterms:modified>
</cp:coreProperties>
</file>