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16525" w14:textId="77777777" w:rsidR="00AB527B" w:rsidRDefault="00AB527B" w:rsidP="00AB527B">
      <w:pPr>
        <w:pStyle w:val="Heading1"/>
        <w:rPr>
          <w:color w:val="auto"/>
        </w:rPr>
      </w:pPr>
      <w:r>
        <w:rPr>
          <w:color w:val="auto"/>
        </w:rPr>
        <w:t xml:space="preserve">Gerontologian ja kansanterveyden maisteriohjelma </w:t>
      </w:r>
    </w:p>
    <w:p w14:paraId="2091E5F4" w14:textId="77777777" w:rsidR="00AB527B" w:rsidRPr="00AB527B" w:rsidRDefault="00AB527B" w:rsidP="00AB527B">
      <w:pPr>
        <w:pStyle w:val="Heading1"/>
        <w:rPr>
          <w:color w:val="auto"/>
          <w:sz w:val="24"/>
          <w:szCs w:val="24"/>
        </w:rPr>
      </w:pPr>
      <w:r w:rsidRPr="00AB527B">
        <w:rPr>
          <w:color w:val="auto"/>
          <w:sz w:val="24"/>
          <w:szCs w:val="24"/>
        </w:rPr>
        <w:t xml:space="preserve">(kuvaus ja osaamistavoitteet yhteensä </w:t>
      </w:r>
      <w:proofErr w:type="spellStart"/>
      <w:r w:rsidRPr="00AB527B">
        <w:rPr>
          <w:color w:val="auto"/>
          <w:sz w:val="24"/>
          <w:szCs w:val="24"/>
        </w:rPr>
        <w:t>max</w:t>
      </w:r>
      <w:proofErr w:type="spellEnd"/>
      <w:r w:rsidRPr="00AB527B">
        <w:rPr>
          <w:color w:val="auto"/>
          <w:sz w:val="24"/>
          <w:szCs w:val="24"/>
        </w:rPr>
        <w:t xml:space="preserve"> 1 sivu)</w:t>
      </w:r>
    </w:p>
    <w:p w14:paraId="182F8D3F" w14:textId="77777777" w:rsidR="00D320B8" w:rsidRDefault="00D320B8" w:rsidP="00697B34"/>
    <w:p w14:paraId="734A67ED" w14:textId="77777777" w:rsidR="00AB527B" w:rsidRPr="00DE5EDA" w:rsidRDefault="00AB527B" w:rsidP="00AB527B">
      <w:pPr>
        <w:pStyle w:val="Heading2"/>
        <w:rPr>
          <w:color w:val="auto"/>
        </w:rPr>
      </w:pPr>
      <w:r w:rsidRPr="00DE5EDA">
        <w:rPr>
          <w:color w:val="auto"/>
        </w:rPr>
        <w:t>Kuvaus</w:t>
      </w:r>
    </w:p>
    <w:p w14:paraId="0881D83A" w14:textId="77777777" w:rsidR="00AB527B" w:rsidRDefault="00AB527B" w:rsidP="00697B34"/>
    <w:p w14:paraId="7850D68C" w14:textId="77777777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t xml:space="preserve">Gerontologian ja kansanterveyden maisteriohjelman tavoitteena on kouluttaa laaja-alaisia osaajia </w:t>
      </w:r>
      <w:proofErr w:type="spellStart"/>
      <w:r w:rsidRPr="00AB527B">
        <w:rPr>
          <w:rFonts w:ascii="Arial" w:hAnsi="Arial" w:cs="Arial"/>
          <w:sz w:val="24"/>
          <w:szCs w:val="24"/>
        </w:rPr>
        <w:t>vanhenemis</w:t>
      </w:r>
      <w:proofErr w:type="spellEnd"/>
      <w:r w:rsidRPr="00AB527B">
        <w:rPr>
          <w:rFonts w:ascii="Arial" w:hAnsi="Arial" w:cs="Arial"/>
          <w:sz w:val="24"/>
          <w:szCs w:val="24"/>
        </w:rPr>
        <w:t>- ja terveysalan asiantuntijatehtäviin. Gerontologian ja kansanterveyden koulutuksessa keskeisiä teemoja ovat väestön ikääntyminen ja sen yhteiskunnalliset vaikutukset, terveyden</w:t>
      </w:r>
      <w:r w:rsidR="001E7BB2">
        <w:rPr>
          <w:rFonts w:ascii="Arial" w:hAnsi="Arial" w:cs="Arial"/>
          <w:sz w:val="24"/>
          <w:szCs w:val="24"/>
        </w:rPr>
        <w:t>, hyvinvoinnin</w:t>
      </w:r>
      <w:r w:rsidRPr="00AB527B">
        <w:rPr>
          <w:rFonts w:ascii="Arial" w:hAnsi="Arial" w:cs="Arial"/>
          <w:sz w:val="24"/>
          <w:szCs w:val="24"/>
        </w:rPr>
        <w:t xml:space="preserve"> ja toimintakyvyn ikämuutokset sekä niihin vaikuttaminen liikunnan ja kuntoutuksen keinoin. Koulutus perustuu alan tuoreimpaan tutkimustietoon ja vastaa yhteiskunnan kestävän kehityksen tarpeisiin ikääntyvien ihmisten terveyden, hyvinvoinnin ja osallisuuden edistämisen keinoin.</w:t>
      </w:r>
    </w:p>
    <w:p w14:paraId="5043C2E0" w14:textId="77777777" w:rsidR="00AB527B" w:rsidRDefault="00AB527B" w:rsidP="00697B34"/>
    <w:p w14:paraId="5297FBB1" w14:textId="77777777" w:rsidR="00AB527B" w:rsidRPr="00DE5EDA" w:rsidRDefault="00AB527B" w:rsidP="00AB527B">
      <w:pPr>
        <w:pStyle w:val="Heading2"/>
        <w:rPr>
          <w:color w:val="auto"/>
        </w:rPr>
      </w:pPr>
      <w:r w:rsidRPr="00DE5EDA">
        <w:rPr>
          <w:color w:val="auto"/>
        </w:rPr>
        <w:t>Osaamistavoitteet</w:t>
      </w:r>
    </w:p>
    <w:p w14:paraId="2B9F99DB" w14:textId="77777777" w:rsidR="00AB527B" w:rsidRDefault="00AB527B" w:rsidP="00697B34"/>
    <w:p w14:paraId="24DE3742" w14:textId="77777777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t>Maisterintutkinnon suoritettuaan opiskelija:</w:t>
      </w:r>
    </w:p>
    <w:p w14:paraId="7BFAAA80" w14:textId="6526F2C9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t xml:space="preserve">- </w:t>
      </w:r>
      <w:r w:rsidR="00EF24E9">
        <w:rPr>
          <w:rFonts w:ascii="Arial" w:hAnsi="Arial" w:cs="Arial"/>
          <w:sz w:val="24"/>
          <w:szCs w:val="24"/>
        </w:rPr>
        <w:t>Ymmärtää</w:t>
      </w:r>
      <w:r w:rsidRPr="00AB527B">
        <w:rPr>
          <w:rFonts w:ascii="Arial" w:hAnsi="Arial" w:cs="Arial"/>
          <w:sz w:val="24"/>
          <w:szCs w:val="24"/>
        </w:rPr>
        <w:t xml:space="preserve"> vanhenemi</w:t>
      </w:r>
      <w:r w:rsidR="00EF24E9">
        <w:rPr>
          <w:rFonts w:ascii="Arial" w:hAnsi="Arial" w:cs="Arial"/>
          <w:sz w:val="24"/>
          <w:szCs w:val="24"/>
        </w:rPr>
        <w:t>sen</w:t>
      </w:r>
      <w:r w:rsidRPr="00AB527B">
        <w:rPr>
          <w:rFonts w:ascii="Arial" w:hAnsi="Arial" w:cs="Arial"/>
          <w:sz w:val="24"/>
          <w:szCs w:val="24"/>
        </w:rPr>
        <w:t xml:space="preserve"> läpi elämän jatkuvana biologisena, fyysisenä, psykologisena, kulttuurisena ja sosiaalisena ilmiönä ja osaa kriittisesti arvioida vanhenemisen yksilöllisten erojen syitä ja seurauksia.</w:t>
      </w:r>
    </w:p>
    <w:p w14:paraId="5A6BF44C" w14:textId="6D52A466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t xml:space="preserve">- Osaa analysoida iäkkäiden ihmisten terveyttä, fyysistä aktiivisuutta, toimintakykyä ja osallisuutta ja niiden muutoksia koskevaa tutkimustietoa sekä osaa soveltaa kyseistä tietoa </w:t>
      </w:r>
      <w:r w:rsidR="006A58FE">
        <w:rPr>
          <w:rFonts w:ascii="Arial" w:hAnsi="Arial" w:cs="Arial"/>
          <w:sz w:val="24"/>
          <w:szCs w:val="24"/>
        </w:rPr>
        <w:t xml:space="preserve">terveyden ja </w:t>
      </w:r>
      <w:r w:rsidRPr="00AB527B">
        <w:rPr>
          <w:rFonts w:ascii="Arial" w:hAnsi="Arial" w:cs="Arial"/>
          <w:sz w:val="24"/>
          <w:szCs w:val="24"/>
        </w:rPr>
        <w:t xml:space="preserve">hyvinvoinnin edistämisessä yksilö-, yhteisö- ja yhteiskuntatasolla. </w:t>
      </w:r>
    </w:p>
    <w:p w14:paraId="7A87F4ED" w14:textId="77777777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t xml:space="preserve">- Ymmärtää ikääntyvien ihmisten kyvyt sekä tiedot ja taidot yhteiskunnan voimavarana ja osaa arvioida eliniän kasvun vaikutuksia perheisiin, työ- ja liike-elämään, asumiseen, sosiaaliseen pääomaan ja yhteiskunnallisiin muutoksiin. </w:t>
      </w:r>
    </w:p>
    <w:p w14:paraId="4CCC28D3" w14:textId="0FF01B33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t>-</w:t>
      </w:r>
      <w:r w:rsidR="006A58FE">
        <w:rPr>
          <w:rFonts w:ascii="Arial" w:hAnsi="Arial" w:cs="Arial"/>
          <w:sz w:val="24"/>
          <w:szCs w:val="24"/>
        </w:rPr>
        <w:t xml:space="preserve"> </w:t>
      </w:r>
      <w:r w:rsidRPr="00AB527B">
        <w:rPr>
          <w:rFonts w:ascii="Arial" w:hAnsi="Arial" w:cs="Arial"/>
          <w:sz w:val="24"/>
          <w:szCs w:val="24"/>
        </w:rPr>
        <w:t>Osaa analysoida yhteiskunnallisten muutosten vaikutuksia yksilöiden elämänkulkuun, terveyteen ja hyvinvointiin ikääntyessä.</w:t>
      </w:r>
    </w:p>
    <w:p w14:paraId="4F4702E3" w14:textId="2DEAB303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t xml:space="preserve">- Osaa </w:t>
      </w:r>
      <w:r w:rsidR="00DC2AC6">
        <w:rPr>
          <w:rFonts w:ascii="Arial" w:hAnsi="Arial" w:cs="Arial"/>
          <w:sz w:val="24"/>
          <w:szCs w:val="24"/>
        </w:rPr>
        <w:t>tarkoituksenmukaisesti</w:t>
      </w:r>
      <w:r w:rsidR="00DC2AC6" w:rsidRPr="00AB527B">
        <w:rPr>
          <w:rFonts w:ascii="Arial" w:hAnsi="Arial" w:cs="Arial"/>
          <w:sz w:val="24"/>
          <w:szCs w:val="24"/>
        </w:rPr>
        <w:t xml:space="preserve"> </w:t>
      </w:r>
      <w:r w:rsidRPr="00AB527B">
        <w:rPr>
          <w:rFonts w:ascii="Arial" w:hAnsi="Arial" w:cs="Arial"/>
          <w:sz w:val="24"/>
          <w:szCs w:val="24"/>
        </w:rPr>
        <w:t>käyttää alansa tyypillisimpiä tutkimusmenetelmiä ja arvioida kriittisesti tutkimusprosesseja ja tiedon luotettavuutta.</w:t>
      </w:r>
    </w:p>
    <w:p w14:paraId="7246AF4E" w14:textId="77777777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t>- Osaa arvioida kriittisesti omaa osaamistaan vanhenemisen ja terveyden asiantuntijana ja on motivoitunut kehittämään tieteellistä, käytännöllistä ja eettistä osaamistaan.</w:t>
      </w:r>
    </w:p>
    <w:p w14:paraId="1CC0324F" w14:textId="77777777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lastRenderedPageBreak/>
        <w:t xml:space="preserve">- Osaa itsenäisesti tuottaa tieteellisesti perusteltua vanhenemiseen ja terveyteen liittyvää materiaalia eri tarkoituksiin ja kanaviin sekä suunnitella ja toteuttaa tieteellisesti perusteltuja hankkeita moniammatillisissa yhteisöissä. </w:t>
      </w:r>
    </w:p>
    <w:p w14:paraId="1456B4A1" w14:textId="77777777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t>- Osaa viestinnän ja vuorovaikutuksen keinoin ja toimien kehitys- ja ratkaisuorientoituneesti edistää gerontologista asiantuntemusta yksityisellä, julkisella ja kolmannella sektorilla kotimaassa ja kansainvälisesti.</w:t>
      </w:r>
    </w:p>
    <w:p w14:paraId="5D5C333E" w14:textId="70BA3F13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t xml:space="preserve">- </w:t>
      </w:r>
      <w:r w:rsidR="00EF24E9">
        <w:rPr>
          <w:rFonts w:ascii="Arial" w:hAnsi="Arial" w:cs="Arial"/>
          <w:sz w:val="24"/>
          <w:szCs w:val="24"/>
        </w:rPr>
        <w:t>Hallitsee</w:t>
      </w:r>
      <w:r w:rsidR="00EF24E9" w:rsidRPr="00AB527B">
        <w:rPr>
          <w:rFonts w:ascii="Arial" w:hAnsi="Arial" w:cs="Arial"/>
          <w:sz w:val="24"/>
          <w:szCs w:val="24"/>
        </w:rPr>
        <w:t xml:space="preserve"> </w:t>
      </w:r>
      <w:r w:rsidRPr="00AB527B">
        <w:rPr>
          <w:rFonts w:ascii="Arial" w:hAnsi="Arial" w:cs="Arial"/>
          <w:sz w:val="24"/>
          <w:szCs w:val="24"/>
        </w:rPr>
        <w:t>tieteellisen jatkokoulutuksen edellyttämät valmiudet.</w:t>
      </w:r>
    </w:p>
    <w:p w14:paraId="3526B88D" w14:textId="77777777" w:rsidR="00AB527B" w:rsidRPr="00AB527B" w:rsidRDefault="00AB527B" w:rsidP="00AB527B">
      <w:pPr>
        <w:spacing w:line="276" w:lineRule="auto"/>
        <w:rPr>
          <w:rFonts w:ascii="Arial" w:hAnsi="Arial" w:cs="Arial"/>
          <w:sz w:val="24"/>
          <w:szCs w:val="24"/>
        </w:rPr>
      </w:pPr>
      <w:r w:rsidRPr="00AB527B">
        <w:rPr>
          <w:rFonts w:ascii="Arial" w:hAnsi="Arial" w:cs="Arial"/>
          <w:sz w:val="24"/>
          <w:szCs w:val="24"/>
        </w:rPr>
        <w:br w:type="page"/>
      </w:r>
    </w:p>
    <w:p w14:paraId="2982C9B3" w14:textId="77777777" w:rsidR="00AB527B" w:rsidRPr="00AB527B" w:rsidRDefault="00AB527B" w:rsidP="00AB52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9808EA7" w14:textId="77777777" w:rsidR="00AB527B" w:rsidRPr="00AB527B" w:rsidRDefault="00AB527B" w:rsidP="00AB527B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B527B">
        <w:rPr>
          <w:rFonts w:asciiTheme="majorHAnsi" w:hAnsiTheme="majorHAnsi" w:cstheme="majorHAnsi"/>
          <w:sz w:val="28"/>
          <w:szCs w:val="28"/>
        </w:rPr>
        <w:t>Valmistuvan osaamisalueet</w:t>
      </w:r>
      <w:r w:rsidRPr="00AB527B">
        <w:rPr>
          <w:rFonts w:ascii="Arial" w:hAnsi="Arial" w:cs="Arial"/>
          <w:sz w:val="28"/>
          <w:szCs w:val="28"/>
        </w:rPr>
        <w:t xml:space="preserve"> </w:t>
      </w:r>
      <w:r w:rsidRPr="00AB527B">
        <w:rPr>
          <w:rFonts w:asciiTheme="majorHAnsi" w:hAnsiTheme="majorHAnsi" w:cstheme="majorHAnsi"/>
          <w:sz w:val="24"/>
          <w:szCs w:val="24"/>
        </w:rPr>
        <w:t>(1/4 sivun kuvaus/osaamisalue)</w:t>
      </w:r>
    </w:p>
    <w:p w14:paraId="73ED601A" w14:textId="77777777" w:rsidR="00AB527B" w:rsidRPr="00AB527B" w:rsidRDefault="00AB527B" w:rsidP="00AB527B">
      <w:pPr>
        <w:spacing w:line="276" w:lineRule="auto"/>
        <w:rPr>
          <w:rFonts w:ascii="Arial" w:eastAsiaTheme="majorEastAsia" w:hAnsi="Arial" w:cs="Arial"/>
          <w:sz w:val="26"/>
          <w:szCs w:val="26"/>
        </w:rPr>
      </w:pPr>
    </w:p>
    <w:p w14:paraId="748CB190" w14:textId="77777777" w:rsidR="00AB527B" w:rsidRPr="00AB527B" w:rsidRDefault="00AB527B" w:rsidP="00AB527B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B527B">
        <w:rPr>
          <w:rFonts w:ascii="Arial" w:eastAsiaTheme="majorEastAsia" w:hAnsi="Arial" w:cs="Arial"/>
          <w:sz w:val="26"/>
          <w:szCs w:val="26"/>
        </w:rPr>
        <w:t xml:space="preserve">Osaamisalue A - </w:t>
      </w:r>
      <w:r w:rsidRPr="00AB527B">
        <w:rPr>
          <w:rFonts w:ascii="Arial" w:hAnsi="Arial" w:cs="Arial"/>
          <w:b/>
          <w:sz w:val="28"/>
          <w:szCs w:val="28"/>
        </w:rPr>
        <w:t>Kehitys- ja ratkaisuorientoitunut asiantuntija työelämässä</w:t>
      </w:r>
    </w:p>
    <w:p w14:paraId="5484E5B6" w14:textId="35329A1A" w:rsidR="00AB527B" w:rsidRPr="00AB527B" w:rsidRDefault="00AB527B" w:rsidP="00AB527B">
      <w:pPr>
        <w:spacing w:line="276" w:lineRule="auto"/>
        <w:rPr>
          <w:rFonts w:ascii="Arial" w:hAnsi="Arial" w:cs="Arial"/>
        </w:rPr>
      </w:pPr>
      <w:r w:rsidRPr="00AB527B">
        <w:rPr>
          <w:rFonts w:ascii="Arial" w:hAnsi="Arial" w:cs="Arial"/>
        </w:rPr>
        <w:t xml:space="preserve">Tämän osaamisalueen opintojaksot luovat perustan opiskelu-, </w:t>
      </w:r>
      <w:proofErr w:type="spellStart"/>
      <w:r w:rsidRPr="00AB527B">
        <w:rPr>
          <w:rFonts w:ascii="Arial" w:hAnsi="Arial" w:cs="Arial"/>
        </w:rPr>
        <w:t>oppimis</w:t>
      </w:r>
      <w:proofErr w:type="spellEnd"/>
      <w:r w:rsidRPr="00AB527B">
        <w:rPr>
          <w:rFonts w:ascii="Arial" w:hAnsi="Arial" w:cs="Arial"/>
        </w:rPr>
        <w:t>- ja työelämätaidoille. Opiskelija osaa tunnistaa ja arvioida kriittisesti omaa osaamistaan vanhenemisen ja terveyden asiantuntijana ja on motivoitunut kehittämään tieteellistä, käytännöllistä ja eettistä osaamistaan toimiessaan työelämässä. Opiskelija osaa toimia ratkaisuorientoituneesti vuorovaikutuksessa muiden</w:t>
      </w:r>
      <w:r>
        <w:rPr>
          <w:rFonts w:ascii="Arial" w:hAnsi="Arial" w:cs="Arial"/>
        </w:rPr>
        <w:t xml:space="preserve"> </w:t>
      </w:r>
      <w:r w:rsidRPr="00AB527B">
        <w:rPr>
          <w:rFonts w:ascii="Arial" w:hAnsi="Arial" w:cs="Arial"/>
        </w:rPr>
        <w:t xml:space="preserve">kanssa yksityisellä, julkisella ja kolmannella sektorilla kotimaassa ja kansainvälisesti. Opiskelija osaa itsenäisesti </w:t>
      </w:r>
      <w:r w:rsidR="00953241">
        <w:rPr>
          <w:rFonts w:ascii="Arial" w:hAnsi="Arial" w:cs="Arial"/>
        </w:rPr>
        <w:t xml:space="preserve">hakea tietoa ja </w:t>
      </w:r>
      <w:r w:rsidRPr="00AB527B">
        <w:rPr>
          <w:rFonts w:ascii="Arial" w:hAnsi="Arial" w:cs="Arial"/>
        </w:rPr>
        <w:t>tuottaa tieteellisesti perusteltua vanhenemiseen ja terveyteen liittyvää materiaalia eri tarkoituksiin ja kanaviin sekä suunnitella ja toteuttaa tieteellisesti perusteltuja hankkeita moniammatillisissa yhteisöissä.</w:t>
      </w:r>
    </w:p>
    <w:p w14:paraId="096D4F76" w14:textId="77777777" w:rsidR="00AB527B" w:rsidRPr="00AB527B" w:rsidRDefault="00AB527B" w:rsidP="00AB527B">
      <w:pPr>
        <w:spacing w:line="276" w:lineRule="auto"/>
        <w:rPr>
          <w:rFonts w:ascii="Arial" w:hAnsi="Arial" w:cs="Arial"/>
        </w:rPr>
      </w:pPr>
    </w:p>
    <w:p w14:paraId="418E1B43" w14:textId="77777777" w:rsidR="00AB527B" w:rsidRPr="00AB527B" w:rsidRDefault="00AB527B" w:rsidP="00AB527B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B527B">
        <w:rPr>
          <w:rStyle w:val="Heading2Char"/>
          <w:rFonts w:ascii="Arial" w:hAnsi="Arial" w:cs="Arial"/>
          <w:color w:val="auto"/>
        </w:rPr>
        <w:t xml:space="preserve">Osaamisalue B - </w:t>
      </w:r>
      <w:r w:rsidRPr="00AB527B">
        <w:rPr>
          <w:rFonts w:ascii="Arial" w:hAnsi="Arial" w:cs="Arial"/>
          <w:b/>
          <w:sz w:val="28"/>
          <w:szCs w:val="28"/>
        </w:rPr>
        <w:t>Kriittinen tutkimustiedon käyttäjä ja tuottaja</w:t>
      </w:r>
    </w:p>
    <w:p w14:paraId="03B8B86E" w14:textId="35E735B2" w:rsidR="00AB527B" w:rsidRPr="00AB527B" w:rsidRDefault="00AB527B" w:rsidP="00AB527B">
      <w:pPr>
        <w:spacing w:after="0" w:line="276" w:lineRule="auto"/>
        <w:rPr>
          <w:rFonts w:ascii="Arial" w:hAnsi="Arial" w:cs="Arial"/>
        </w:rPr>
      </w:pPr>
      <w:r w:rsidRPr="00AB527B">
        <w:rPr>
          <w:rFonts w:ascii="Arial" w:hAnsi="Arial" w:cs="Arial"/>
        </w:rPr>
        <w:t xml:space="preserve">Tämän osaamisalueen opintojaksot käytyään opiskelija ymmärtää tieteellisen tiedon luonteen ja hallitsee tutkimuksen teon eri vaiheet. Opiskelija osaa hakea ja hyödyntää kriittisesti tutkimustietoa ongelmanratkaisutilanteissa. Opiskelija osaa tarkoituksenmukaisesti käyttää alansa tyypillisimpiä kvantitatiivisia </w:t>
      </w:r>
      <w:r w:rsidR="00953241">
        <w:rPr>
          <w:rFonts w:ascii="Arial" w:hAnsi="Arial" w:cs="Arial"/>
        </w:rPr>
        <w:t>tai</w:t>
      </w:r>
      <w:r w:rsidRPr="00AB527B">
        <w:rPr>
          <w:rFonts w:ascii="Arial" w:hAnsi="Arial" w:cs="Arial"/>
        </w:rPr>
        <w:t xml:space="preserve"> kvalitatiivisia tutkimusmenetelmiä sekä arvioida kriittisesti tutkimusprosesseja ja tiedon luotettavuutta. Opiskelija osaa tarkoituksenmukaisesti raportoida toteuttamansa tutkimuksen tulokset. Opiskelija tietää tutkimuksen teon eri vaiheisiin liittyvät eettiset periaatteet ja osaa toimia eettisesti vastuullisesti. </w:t>
      </w:r>
    </w:p>
    <w:p w14:paraId="6087F454" w14:textId="77777777" w:rsidR="00AB527B" w:rsidRPr="00AB527B" w:rsidRDefault="00AB527B" w:rsidP="00AB527B">
      <w:pPr>
        <w:spacing w:after="0" w:line="276" w:lineRule="auto"/>
        <w:rPr>
          <w:rFonts w:ascii="Arial" w:hAnsi="Arial" w:cs="Arial"/>
        </w:rPr>
      </w:pPr>
    </w:p>
    <w:p w14:paraId="5AB52656" w14:textId="77777777" w:rsidR="00AB527B" w:rsidRDefault="00AB527B" w:rsidP="00AB527B">
      <w:pPr>
        <w:spacing w:line="276" w:lineRule="auto"/>
        <w:rPr>
          <w:rFonts w:ascii="Arial" w:eastAsiaTheme="majorEastAsia" w:hAnsi="Arial" w:cs="Arial"/>
          <w:sz w:val="26"/>
          <w:szCs w:val="26"/>
        </w:rPr>
      </w:pPr>
    </w:p>
    <w:p w14:paraId="728C99B1" w14:textId="77777777" w:rsidR="00AB527B" w:rsidRPr="00AB527B" w:rsidRDefault="00AB527B" w:rsidP="00AB527B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B527B">
        <w:rPr>
          <w:rFonts w:ascii="Arial" w:eastAsiaTheme="majorEastAsia" w:hAnsi="Arial" w:cs="Arial"/>
          <w:sz w:val="26"/>
          <w:szCs w:val="26"/>
        </w:rPr>
        <w:t xml:space="preserve">Osaamisalue C - </w:t>
      </w:r>
      <w:r w:rsidRPr="00AB527B">
        <w:rPr>
          <w:rFonts w:ascii="Arial" w:hAnsi="Arial" w:cs="Arial"/>
          <w:b/>
          <w:sz w:val="28"/>
          <w:szCs w:val="28"/>
        </w:rPr>
        <w:t>Vanhenemisen monialaista tutkimustietoa soveltava asiantuntija</w:t>
      </w:r>
    </w:p>
    <w:p w14:paraId="16F0FD16" w14:textId="1679D9F7" w:rsidR="00AB527B" w:rsidRPr="00AB527B" w:rsidRDefault="00AB527B" w:rsidP="00AB527B">
      <w:pPr>
        <w:spacing w:after="0" w:line="276" w:lineRule="auto"/>
        <w:rPr>
          <w:rFonts w:ascii="Arial" w:hAnsi="Arial" w:cs="Arial"/>
        </w:rPr>
      </w:pPr>
      <w:r w:rsidRPr="00AB527B">
        <w:rPr>
          <w:rFonts w:ascii="Arial" w:hAnsi="Arial" w:cs="Arial"/>
        </w:rPr>
        <w:t xml:space="preserve">Osaamisalueen opinnot käytyään opiskelija ymmärtää vanhenemisen laaja-alaisena ilmiönä ja osaa kriittisesti arvioida vanhenemisen yksilöllisten erojen syitä ja seurauksia. Opiskelija ymmärtää ikääntyvien ihmisten voimavarat ja osaa soveltaa vanhenemiseen liittyvää tutkimustietoa </w:t>
      </w:r>
      <w:r w:rsidR="00012248">
        <w:rPr>
          <w:rFonts w:ascii="Arial" w:hAnsi="Arial" w:cs="Arial"/>
        </w:rPr>
        <w:t xml:space="preserve">terveyden ja </w:t>
      </w:r>
      <w:r w:rsidRPr="00AB527B">
        <w:rPr>
          <w:rFonts w:ascii="Arial" w:hAnsi="Arial" w:cs="Arial"/>
        </w:rPr>
        <w:t>hyvinvoinnin edistämisessä toimiessaan asiantuntijana työelämässä. Opiskelija osaa analysoida eliniän kasvun ja yhteiskunnallisten muutosten vaikutuksia yksilöiden ja yhteisöjen elämään.</w:t>
      </w:r>
    </w:p>
    <w:p w14:paraId="3629EA1E" w14:textId="77777777" w:rsidR="00AB527B" w:rsidRPr="00AB527B" w:rsidRDefault="00AB527B" w:rsidP="00AB527B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107526D" w14:textId="1EC7266B" w:rsidR="00AB527B" w:rsidRPr="00AB527B" w:rsidRDefault="00AB527B" w:rsidP="00AB527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B527B">
        <w:rPr>
          <w:rFonts w:ascii="Arial" w:eastAsiaTheme="majorEastAsia" w:hAnsi="Arial" w:cs="Arial"/>
          <w:sz w:val="26"/>
          <w:szCs w:val="26"/>
        </w:rPr>
        <w:t>Osaamisalue D</w:t>
      </w:r>
      <w:r w:rsidR="005E322D">
        <w:rPr>
          <w:rFonts w:ascii="Arial" w:eastAsiaTheme="majorEastAsia" w:hAnsi="Arial" w:cs="Arial"/>
          <w:sz w:val="26"/>
          <w:szCs w:val="26"/>
        </w:rPr>
        <w:t xml:space="preserve"> </w:t>
      </w:r>
      <w:r w:rsidRPr="00AB527B">
        <w:rPr>
          <w:rFonts w:ascii="Arial" w:eastAsiaTheme="majorEastAsia" w:hAnsi="Arial" w:cs="Arial"/>
          <w:sz w:val="26"/>
          <w:szCs w:val="26"/>
        </w:rPr>
        <w:t>-</w:t>
      </w:r>
      <w:r w:rsidRPr="00AB527B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Pr="00AB527B">
        <w:rPr>
          <w:rFonts w:ascii="Arial" w:hAnsi="Arial" w:cs="Arial"/>
          <w:b/>
          <w:sz w:val="28"/>
          <w:szCs w:val="28"/>
        </w:rPr>
        <w:t>Liikunnan, terveyden ja hyvinvoinnin edistäjä</w:t>
      </w:r>
    </w:p>
    <w:p w14:paraId="10F1C4B1" w14:textId="77777777" w:rsidR="00AB527B" w:rsidRDefault="00AB527B" w:rsidP="00AB527B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6136A68" w14:textId="7159C807" w:rsidR="00AB527B" w:rsidRPr="00953241" w:rsidRDefault="00AB527B" w:rsidP="00AB527B">
      <w:pPr>
        <w:spacing w:after="0" w:line="276" w:lineRule="auto"/>
        <w:rPr>
          <w:rFonts w:ascii="Arial" w:hAnsi="Arial" w:cs="Arial"/>
          <w:shd w:val="clear" w:color="auto" w:fill="FFFFFF"/>
        </w:rPr>
      </w:pPr>
      <w:r w:rsidRPr="00953241">
        <w:rPr>
          <w:rFonts w:ascii="Arial" w:hAnsi="Arial" w:cs="Arial"/>
          <w:shd w:val="clear" w:color="auto" w:fill="FFFFFF"/>
        </w:rPr>
        <w:t xml:space="preserve">Osaamisalueen opinnot luovat perustan ihmisen terveyden ja hyvinvoinnin edistämiselle liikunnan keinon. Opiskelija hallitsee ihmiskehon rakenteen ja toiminnan </w:t>
      </w:r>
      <w:r w:rsidRPr="00953241">
        <w:rPr>
          <w:rFonts w:ascii="Arial" w:hAnsi="Arial" w:cs="Arial"/>
          <w:shd w:val="clear" w:color="auto" w:fill="FFFFFF"/>
        </w:rPr>
        <w:lastRenderedPageBreak/>
        <w:t xml:space="preserve">sekä fyysisen kuormittamisen vaikutukset terveyteen ja toimintakykyyn. Opiskelija osaa arvioida ja analysoida ihmisten terveyttä, </w:t>
      </w:r>
      <w:r w:rsidR="00012248" w:rsidRPr="00953241">
        <w:rPr>
          <w:rFonts w:ascii="Arial" w:hAnsi="Arial" w:cs="Arial"/>
          <w:shd w:val="clear" w:color="auto" w:fill="FFFFFF"/>
        </w:rPr>
        <w:t xml:space="preserve">hyvinvointia, </w:t>
      </w:r>
      <w:r w:rsidRPr="00953241">
        <w:rPr>
          <w:rFonts w:ascii="Arial" w:hAnsi="Arial" w:cs="Arial"/>
          <w:shd w:val="clear" w:color="auto" w:fill="FFFFFF"/>
        </w:rPr>
        <w:t xml:space="preserve">fyysistä aktiivisuutta ja toimintakykyä sekä niihin vaikuttavia tekijöitä eri ikävaiheissa. Opiskelija osaa soveltaa liikuntaan ja terveyteen liittyvää tutkimustietoa </w:t>
      </w:r>
      <w:r w:rsidR="00012248" w:rsidRPr="00953241">
        <w:rPr>
          <w:rFonts w:ascii="Arial" w:hAnsi="Arial" w:cs="Arial"/>
          <w:shd w:val="clear" w:color="auto" w:fill="FFFFFF"/>
        </w:rPr>
        <w:t xml:space="preserve">terveyden ja </w:t>
      </w:r>
      <w:r w:rsidRPr="00953241">
        <w:rPr>
          <w:rFonts w:ascii="Arial" w:hAnsi="Arial" w:cs="Arial"/>
          <w:shd w:val="clear" w:color="auto" w:fill="FFFFFF"/>
        </w:rPr>
        <w:t>hyvinvoinnin edistämisessä</w:t>
      </w:r>
      <w:r w:rsidRPr="00953241">
        <w:rPr>
          <w:rFonts w:ascii="Arial" w:hAnsi="Arial" w:cs="Arial"/>
        </w:rPr>
        <w:t xml:space="preserve"> yksilö-, yhteisö- ja yhteiskuntatasolla</w:t>
      </w:r>
      <w:r w:rsidRPr="00953241">
        <w:rPr>
          <w:rFonts w:ascii="Arial" w:hAnsi="Arial" w:cs="Arial"/>
          <w:shd w:val="clear" w:color="auto" w:fill="FFFFFF"/>
        </w:rPr>
        <w:t xml:space="preserve">. </w:t>
      </w:r>
    </w:p>
    <w:p w14:paraId="51E5EE49" w14:textId="77777777" w:rsidR="00AB527B" w:rsidRDefault="00AB527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CF3482F" w14:textId="77777777" w:rsidR="00AB527B" w:rsidRPr="00AB527B" w:rsidRDefault="00AB527B" w:rsidP="00AB527B">
      <w:pPr>
        <w:rPr>
          <w:rFonts w:ascii="Arial" w:hAnsi="Arial" w:cs="Arial"/>
          <w:sz w:val="20"/>
          <w:szCs w:val="20"/>
        </w:rPr>
      </w:pPr>
      <w:r w:rsidRPr="00AB527B">
        <w:rPr>
          <w:rFonts w:ascii="Arial" w:hAnsi="Arial" w:cs="Arial"/>
          <w:sz w:val="20"/>
          <w:szCs w:val="20"/>
        </w:rPr>
        <w:lastRenderedPageBreak/>
        <w:t xml:space="preserve">Tässä on nykyisen </w:t>
      </w:r>
      <w:proofErr w:type="spellStart"/>
      <w:r w:rsidRPr="00AB527B">
        <w:rPr>
          <w:rFonts w:ascii="Arial" w:hAnsi="Arial" w:cs="Arial"/>
          <w:sz w:val="20"/>
          <w:szCs w:val="20"/>
        </w:rPr>
        <w:t>OPS:n</w:t>
      </w:r>
      <w:proofErr w:type="spellEnd"/>
      <w:r w:rsidRPr="00AB527B">
        <w:rPr>
          <w:rFonts w:ascii="Arial" w:hAnsi="Arial" w:cs="Arial"/>
          <w:sz w:val="20"/>
          <w:szCs w:val="20"/>
        </w:rPr>
        <w:t xml:space="preserve"> opintojaksot jaoteltuna osaamisalueisiin: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2659"/>
        <w:gridCol w:w="2798"/>
        <w:gridCol w:w="2029"/>
      </w:tblGrid>
      <w:tr w:rsidR="00AB527B" w:rsidRPr="00F51090" w14:paraId="2BA7F37A" w14:textId="77777777" w:rsidTr="00953241">
        <w:tc>
          <w:tcPr>
            <w:tcW w:w="2970" w:type="dxa"/>
          </w:tcPr>
          <w:p w14:paraId="1C253D8B" w14:textId="77777777" w:rsidR="00AB527B" w:rsidRPr="00F51090" w:rsidRDefault="00AB527B" w:rsidP="005C55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51090">
              <w:rPr>
                <w:rFonts w:ascii="Arial Narrow" w:hAnsi="Arial Narrow"/>
                <w:b/>
                <w:sz w:val="20"/>
                <w:szCs w:val="20"/>
              </w:rPr>
              <w:t>OSAAMISALUEET:</w:t>
            </w:r>
          </w:p>
          <w:p w14:paraId="5BB6CABF" w14:textId="77777777" w:rsidR="00AB527B" w:rsidRPr="00F51090" w:rsidRDefault="00AB527B" w:rsidP="005C55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51090">
              <w:rPr>
                <w:rFonts w:ascii="Arial Narrow" w:hAnsi="Arial Narrow"/>
                <w:b/>
                <w:sz w:val="20"/>
                <w:szCs w:val="20"/>
              </w:rPr>
              <w:t>Kehitys- ja ratkaisuorientoitunut asiantuntija työelämässä</w:t>
            </w:r>
          </w:p>
        </w:tc>
        <w:tc>
          <w:tcPr>
            <w:tcW w:w="2659" w:type="dxa"/>
          </w:tcPr>
          <w:p w14:paraId="0E8CE5A5" w14:textId="77777777" w:rsidR="00AB527B" w:rsidRDefault="00AB527B" w:rsidP="005C556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E529FC4" w14:textId="77777777" w:rsidR="00AB527B" w:rsidRDefault="00AB527B" w:rsidP="005C55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51090">
              <w:rPr>
                <w:rFonts w:ascii="Arial Narrow" w:hAnsi="Arial Narrow"/>
                <w:b/>
                <w:sz w:val="20"/>
                <w:szCs w:val="20"/>
              </w:rPr>
              <w:t>Kriittinen tutkimustiedon käyttäjä ja tuottaja</w:t>
            </w:r>
          </w:p>
          <w:p w14:paraId="52C7FE37" w14:textId="77777777" w:rsidR="00AB527B" w:rsidRPr="00F51090" w:rsidRDefault="00AB527B" w:rsidP="005C556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98" w:type="dxa"/>
          </w:tcPr>
          <w:p w14:paraId="5D705FEA" w14:textId="77777777" w:rsidR="00AB527B" w:rsidRDefault="00AB527B" w:rsidP="005C556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B1C8F57" w14:textId="77777777" w:rsidR="00AB527B" w:rsidRPr="00F51090" w:rsidRDefault="00AB527B" w:rsidP="005C55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51090">
              <w:rPr>
                <w:rFonts w:ascii="Arial Narrow" w:hAnsi="Arial Narrow"/>
                <w:b/>
                <w:sz w:val="20"/>
                <w:szCs w:val="20"/>
              </w:rPr>
              <w:t xml:space="preserve">Vanhenemisen monialaista tutkimustietoa soveltava asiantuntija </w:t>
            </w:r>
          </w:p>
        </w:tc>
        <w:tc>
          <w:tcPr>
            <w:tcW w:w="2029" w:type="dxa"/>
          </w:tcPr>
          <w:p w14:paraId="51B3D5B2" w14:textId="77777777" w:rsidR="00AB527B" w:rsidRDefault="00AB527B" w:rsidP="005C556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B19E660" w14:textId="77777777" w:rsidR="00AB527B" w:rsidRPr="00F51090" w:rsidRDefault="00AB527B" w:rsidP="005C55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51090">
              <w:rPr>
                <w:rFonts w:ascii="Arial Narrow" w:hAnsi="Arial Narrow"/>
                <w:b/>
                <w:sz w:val="20"/>
                <w:szCs w:val="20"/>
              </w:rPr>
              <w:t>Liikunnan, terveyden ja hyvinvoinnin edistäjä</w:t>
            </w:r>
          </w:p>
        </w:tc>
      </w:tr>
      <w:tr w:rsidR="00953241" w:rsidRPr="00F51090" w14:paraId="3D7C1B0C" w14:textId="77777777" w:rsidTr="00953241">
        <w:trPr>
          <w:trHeight w:val="538"/>
        </w:trPr>
        <w:tc>
          <w:tcPr>
            <w:tcW w:w="2970" w:type="dxa"/>
          </w:tcPr>
          <w:p w14:paraId="2468B5F3" w14:textId="0D9E7FCE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hAnsi="Arial Narrow"/>
                <w:sz w:val="20"/>
                <w:szCs w:val="20"/>
                <w:lang w:val="en-US"/>
              </w:rPr>
            </w:pPr>
            <w:hyperlink r:id="rId5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TGES019 Asiantuntijaharjoittelu (6 op)</w:t>
              </w:r>
            </w:hyperlink>
          </w:p>
        </w:tc>
        <w:tc>
          <w:tcPr>
            <w:tcW w:w="2659" w:type="dxa"/>
          </w:tcPr>
          <w:p w14:paraId="6019015E" w14:textId="77777777" w:rsidR="00953241" w:rsidRPr="00F51090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6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KTEY008 Epidemiologian perusteet (3 op)</w:t>
              </w:r>
            </w:hyperlink>
          </w:p>
        </w:tc>
        <w:tc>
          <w:tcPr>
            <w:tcW w:w="2798" w:type="dxa"/>
          </w:tcPr>
          <w:p w14:paraId="3A56680A" w14:textId="77777777" w:rsidR="00953241" w:rsidRPr="00F51090" w:rsidRDefault="00F0773D" w:rsidP="00953241">
            <w:pPr>
              <w:shd w:val="clear" w:color="auto" w:fill="F0F2F4"/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KTEP013 Vanheneminen ja terveys I (2 op)</w:t>
              </w:r>
            </w:hyperlink>
          </w:p>
        </w:tc>
        <w:tc>
          <w:tcPr>
            <w:tcW w:w="2029" w:type="dxa"/>
          </w:tcPr>
          <w:p w14:paraId="1FE208E6" w14:textId="77777777" w:rsidR="00953241" w:rsidRPr="00F51090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8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KTEA013 Liikunta ja vanheneminen (4 op)</w:t>
              </w:r>
            </w:hyperlink>
          </w:p>
        </w:tc>
      </w:tr>
      <w:tr w:rsidR="00953241" w:rsidRPr="00F51090" w14:paraId="0DBD88D4" w14:textId="77777777" w:rsidTr="00953241">
        <w:tc>
          <w:tcPr>
            <w:tcW w:w="2970" w:type="dxa"/>
          </w:tcPr>
          <w:p w14:paraId="7CD71A89" w14:textId="77777777" w:rsidR="00953241" w:rsidRPr="00FE5341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  <w:hyperlink r:id="rId9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TGES400 Maturiteetti (maisterin tutkinto) (0 op)</w:t>
              </w:r>
            </w:hyperlink>
          </w:p>
          <w:p w14:paraId="5D267DBD" w14:textId="1499B95C" w:rsidR="00953241" w:rsidRPr="00F51090" w:rsidRDefault="00953241" w:rsidP="00953241">
            <w:pPr>
              <w:shd w:val="clear" w:color="auto" w:fill="F0F2F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59" w:type="dxa"/>
          </w:tcPr>
          <w:p w14:paraId="28B2A875" w14:textId="77777777" w:rsidR="00953241" w:rsidRPr="00720298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10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GERA1001 Tutkielmaseminaari (2 op)</w:t>
              </w:r>
            </w:hyperlink>
          </w:p>
          <w:p w14:paraId="68F56073" w14:textId="6868C8C0" w:rsidR="00953241" w:rsidRPr="00F51090" w:rsidRDefault="00953241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  <w:tc>
          <w:tcPr>
            <w:tcW w:w="2798" w:type="dxa"/>
          </w:tcPr>
          <w:p w14:paraId="288214B7" w14:textId="77777777" w:rsidR="00953241" w:rsidRPr="00720298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11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KTEP014 Vanheneminen ja terveys II (4 op)</w:t>
              </w:r>
            </w:hyperlink>
          </w:p>
          <w:p w14:paraId="21616A67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9" w:type="dxa"/>
          </w:tcPr>
          <w:p w14:paraId="313BB48E" w14:textId="77777777" w:rsidR="00953241" w:rsidRPr="00895E6F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12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KTEA014 Terveyden biologiset perusteet (3 - 4 op)</w:t>
              </w:r>
            </w:hyperlink>
          </w:p>
          <w:p w14:paraId="5A8A7BD5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3241" w:rsidRPr="00F51090" w14:paraId="0625FAC3" w14:textId="77777777" w:rsidTr="00953241">
        <w:tc>
          <w:tcPr>
            <w:tcW w:w="2970" w:type="dxa"/>
          </w:tcPr>
          <w:p w14:paraId="41CDE4C6" w14:textId="01B1F2F1" w:rsidR="00953241" w:rsidRPr="00F51090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  <w:hyperlink r:id="rId13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KTEP001 Terveystieteiden asiantuntijuus, osa I (1 op)</w:t>
              </w:r>
            </w:hyperlink>
          </w:p>
        </w:tc>
        <w:tc>
          <w:tcPr>
            <w:tcW w:w="2659" w:type="dxa"/>
          </w:tcPr>
          <w:p w14:paraId="12CE6875" w14:textId="77777777" w:rsidR="00953241" w:rsidRPr="00720298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14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GERA1002 Tutkielma (6 op)</w:t>
              </w:r>
            </w:hyperlink>
          </w:p>
          <w:p w14:paraId="33038C1F" w14:textId="77777777" w:rsidR="00953241" w:rsidRPr="00F51090" w:rsidRDefault="00953241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8" w:type="dxa"/>
          </w:tcPr>
          <w:p w14:paraId="2A234C31" w14:textId="77777777" w:rsidR="00953241" w:rsidRPr="00FE5341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15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GERS1001 Gerontologinen tutkimus (5 op)</w:t>
              </w:r>
            </w:hyperlink>
          </w:p>
          <w:p w14:paraId="272EBFDB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9" w:type="dxa"/>
          </w:tcPr>
          <w:p w14:paraId="4782F60C" w14:textId="77777777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16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KTEY013 Toimintakyvyn arviointimenetelmät terveystieteissä (3 op)</w:t>
              </w:r>
            </w:hyperlink>
          </w:p>
        </w:tc>
      </w:tr>
      <w:tr w:rsidR="00953241" w:rsidRPr="00F51090" w14:paraId="133EC7E7" w14:textId="77777777" w:rsidTr="00953241">
        <w:tc>
          <w:tcPr>
            <w:tcW w:w="2970" w:type="dxa"/>
          </w:tcPr>
          <w:p w14:paraId="26C7F681" w14:textId="77777777" w:rsidR="00953241" w:rsidRPr="00FE5341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17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KTEA007 Terveystieteiden asiantuntijuus, osa II (1 op)</w:t>
              </w:r>
            </w:hyperlink>
          </w:p>
          <w:p w14:paraId="7A11BA7E" w14:textId="7B174566" w:rsidR="00953241" w:rsidRPr="00F51090" w:rsidRDefault="00953241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</w:p>
        </w:tc>
        <w:tc>
          <w:tcPr>
            <w:tcW w:w="2659" w:type="dxa"/>
          </w:tcPr>
          <w:p w14:paraId="152C61B2" w14:textId="77777777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  <w:hyperlink r:id="rId18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LTKY002 Tieteellisen toiminnan perusteet (3 op)</w:t>
              </w:r>
            </w:hyperlink>
          </w:p>
        </w:tc>
        <w:tc>
          <w:tcPr>
            <w:tcW w:w="2798" w:type="dxa"/>
          </w:tcPr>
          <w:p w14:paraId="62ACAF1F" w14:textId="77777777" w:rsidR="00953241" w:rsidRPr="00F51090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19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GERS1002 Vanhenemisen epidemiologia (5 op)</w:t>
              </w:r>
            </w:hyperlink>
          </w:p>
        </w:tc>
        <w:tc>
          <w:tcPr>
            <w:tcW w:w="2029" w:type="dxa"/>
          </w:tcPr>
          <w:p w14:paraId="15C720B7" w14:textId="46CE4DD2" w:rsidR="00953241" w:rsidRPr="00F51090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</w:tr>
      <w:tr w:rsidR="00953241" w:rsidRPr="00F51090" w14:paraId="0560EAB0" w14:textId="77777777" w:rsidTr="00953241">
        <w:tc>
          <w:tcPr>
            <w:tcW w:w="2970" w:type="dxa"/>
          </w:tcPr>
          <w:p w14:paraId="60486CB5" w14:textId="77777777" w:rsidR="00953241" w:rsidRPr="00895E6F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20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KTEY005 Terveysalan hallinto ja päätöksenteko(3 op)</w:t>
              </w:r>
            </w:hyperlink>
          </w:p>
          <w:p w14:paraId="6FC3FDA5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59" w:type="dxa"/>
          </w:tcPr>
          <w:p w14:paraId="4CE698E1" w14:textId="77777777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21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LTKY014 Tiedonhankintamenetelmät ja tieteellisen kirjoittamisen perusteet (2 op)</w:t>
              </w:r>
            </w:hyperlink>
          </w:p>
        </w:tc>
        <w:tc>
          <w:tcPr>
            <w:tcW w:w="2798" w:type="dxa"/>
          </w:tcPr>
          <w:p w14:paraId="4583C5FB" w14:textId="77777777" w:rsidR="00953241" w:rsidRPr="00FE5341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22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GERS1003 Vanhenemisen biologiset ja fyysiset erityiskysymykset (5 op)</w:t>
              </w:r>
            </w:hyperlink>
          </w:p>
          <w:p w14:paraId="6B4F0AA5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9" w:type="dxa"/>
          </w:tcPr>
          <w:p w14:paraId="1DE8C1D6" w14:textId="0A1FF5D4" w:rsidR="00953241" w:rsidRPr="00F51090" w:rsidRDefault="00EF24E9" w:rsidP="009532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Tähän tulee yo-pohjaisten kandivaiheen opintoja.</w:t>
            </w:r>
          </w:p>
        </w:tc>
      </w:tr>
      <w:tr w:rsidR="00953241" w:rsidRPr="00F51090" w14:paraId="73DF070C" w14:textId="77777777" w:rsidTr="00953241">
        <w:tc>
          <w:tcPr>
            <w:tcW w:w="2970" w:type="dxa"/>
          </w:tcPr>
          <w:p w14:paraId="22C6407D" w14:textId="455D3588" w:rsidR="00953241" w:rsidRPr="00F51090" w:rsidRDefault="00F0773D" w:rsidP="00953241">
            <w:pPr>
              <w:rPr>
                <w:rFonts w:ascii="Arial Narrow" w:hAnsi="Arial Narrow"/>
                <w:sz w:val="20"/>
                <w:szCs w:val="20"/>
              </w:rPr>
            </w:pPr>
            <w:hyperlink r:id="rId23" w:history="1">
              <w:r w:rsidR="00953241" w:rsidRPr="00F51090">
                <w:rPr>
                  <w:rStyle w:val="Hyperlink"/>
                  <w:rFonts w:ascii="Arial Narrow" w:hAnsi="Arial Narrow"/>
                  <w:color w:val="00B0F0"/>
                  <w:sz w:val="20"/>
                  <w:szCs w:val="20"/>
                  <w:shd w:val="clear" w:color="auto" w:fill="F0F2F4"/>
                </w:rPr>
                <w:t>TGES003 Asiantuntijuus gerontologiassa (3 op</w:t>
              </w:r>
            </w:hyperlink>
          </w:p>
        </w:tc>
        <w:tc>
          <w:tcPr>
            <w:tcW w:w="2659" w:type="dxa"/>
          </w:tcPr>
          <w:p w14:paraId="2AA4CDC2" w14:textId="77777777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24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LTKY1010 Kvalitatiivisten tutkimusmenetelmien perusteet (5 op)</w:t>
              </w:r>
            </w:hyperlink>
          </w:p>
        </w:tc>
        <w:tc>
          <w:tcPr>
            <w:tcW w:w="2798" w:type="dxa"/>
          </w:tcPr>
          <w:p w14:paraId="0F7656DC" w14:textId="77777777" w:rsidR="00953241" w:rsidRPr="00F51090" w:rsidRDefault="00F0773D" w:rsidP="00953241">
            <w:pPr>
              <w:shd w:val="clear" w:color="auto" w:fill="F0F2F4"/>
              <w:rPr>
                <w:rFonts w:ascii="Arial Narrow" w:hAnsi="Arial Narrow"/>
                <w:sz w:val="20"/>
                <w:szCs w:val="20"/>
              </w:rPr>
            </w:pPr>
            <w:hyperlink r:id="rId25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 xml:space="preserve">GERS1004 Vanhenemisen </w:t>
              </w:r>
              <w:proofErr w:type="spellStart"/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psykososiaaliset</w:t>
              </w:r>
              <w:proofErr w:type="spellEnd"/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 xml:space="preserve"> erityiskysymykset (5 op)</w:t>
              </w:r>
            </w:hyperlink>
          </w:p>
        </w:tc>
        <w:tc>
          <w:tcPr>
            <w:tcW w:w="2029" w:type="dxa"/>
          </w:tcPr>
          <w:p w14:paraId="6BF01192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3241" w:rsidRPr="00F51090" w14:paraId="0A2FAB88" w14:textId="77777777" w:rsidTr="00953241">
        <w:tc>
          <w:tcPr>
            <w:tcW w:w="2970" w:type="dxa"/>
          </w:tcPr>
          <w:p w14:paraId="4E1E3EAF" w14:textId="348B21F5" w:rsidR="00953241" w:rsidRPr="00953241" w:rsidRDefault="00F0773D" w:rsidP="0095324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hyperlink r:id="rId26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val="en-US" w:eastAsia="fi-FI"/>
                </w:rPr>
                <w:t>XENL001 Academic Reading (for Sport and Health Sciences) (2 op)</w:t>
              </w:r>
            </w:hyperlink>
          </w:p>
        </w:tc>
        <w:tc>
          <w:tcPr>
            <w:tcW w:w="2659" w:type="dxa"/>
          </w:tcPr>
          <w:p w14:paraId="7957ABFE" w14:textId="77777777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27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LTKY1011 Kvantitatiivisten tutkimusmenetelmien perusteet (5 op)</w:t>
              </w:r>
            </w:hyperlink>
          </w:p>
        </w:tc>
        <w:tc>
          <w:tcPr>
            <w:tcW w:w="2798" w:type="dxa"/>
          </w:tcPr>
          <w:p w14:paraId="336E291C" w14:textId="77777777" w:rsidR="00953241" w:rsidRPr="00FE5341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28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GERS1005 Tutkimusartikkeliseminaari (2 op)</w:t>
              </w:r>
            </w:hyperlink>
          </w:p>
          <w:p w14:paraId="242BD823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9" w:type="dxa"/>
          </w:tcPr>
          <w:p w14:paraId="410F7CB3" w14:textId="58A291BD" w:rsidR="00953241" w:rsidRPr="004626C4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</w:tr>
      <w:tr w:rsidR="00953241" w:rsidRPr="00F51090" w14:paraId="05169D2F" w14:textId="77777777" w:rsidTr="00953241">
        <w:tc>
          <w:tcPr>
            <w:tcW w:w="2970" w:type="dxa"/>
          </w:tcPr>
          <w:p w14:paraId="61D44557" w14:textId="6FBDE26A" w:rsidR="00953241" w:rsidRPr="00F51090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  <w:r w:rsidRPr="00F51090"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  <w:t>(TEP-kurssit valinnaisina opintoina)</w:t>
            </w:r>
          </w:p>
        </w:tc>
        <w:tc>
          <w:tcPr>
            <w:tcW w:w="2659" w:type="dxa"/>
          </w:tcPr>
          <w:p w14:paraId="2774F8A4" w14:textId="77777777" w:rsidR="00953241" w:rsidRPr="00F51090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val="en-US" w:eastAsia="fi-FI"/>
              </w:rPr>
            </w:pPr>
            <w:hyperlink r:id="rId29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val="en-US" w:eastAsia="fi-FI"/>
                </w:rPr>
                <w:t xml:space="preserve">TGES004 Pro </w:t>
              </w:r>
              <w:proofErr w:type="spellStart"/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val="en-US" w:eastAsia="fi-FI"/>
                </w:rPr>
                <w:t>gradu</w:t>
              </w:r>
              <w:proofErr w:type="spellEnd"/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val="en-US" w:eastAsia="fi-FI"/>
                </w:rPr>
                <w:t xml:space="preserve"> -</w:t>
              </w:r>
              <w:proofErr w:type="spellStart"/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val="en-US" w:eastAsia="fi-FI"/>
                </w:rPr>
                <w:t>seminaarit</w:t>
              </w:r>
              <w:proofErr w:type="spellEnd"/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val="en-US" w:eastAsia="fi-FI"/>
                </w:rPr>
                <w:t> (5 op)</w:t>
              </w:r>
            </w:hyperlink>
          </w:p>
        </w:tc>
        <w:tc>
          <w:tcPr>
            <w:tcW w:w="2798" w:type="dxa"/>
          </w:tcPr>
          <w:p w14:paraId="4D7383D8" w14:textId="77777777" w:rsidR="00953241" w:rsidRPr="00F51090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  <w:hyperlink r:id="rId30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u w:val="single"/>
                  <w:lang w:eastAsia="fi-FI"/>
                </w:rPr>
                <w:t>GERS1006 Vanheneminen eri aikakausina (2 op)</w:t>
              </w:r>
            </w:hyperlink>
          </w:p>
        </w:tc>
        <w:tc>
          <w:tcPr>
            <w:tcW w:w="2029" w:type="dxa"/>
          </w:tcPr>
          <w:p w14:paraId="6395CE42" w14:textId="62A3E5C8" w:rsidR="00953241" w:rsidRPr="00F51090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</w:tr>
      <w:tr w:rsidR="00953241" w:rsidRPr="00F51090" w14:paraId="73D81AF6" w14:textId="77777777" w:rsidTr="00953241">
        <w:tc>
          <w:tcPr>
            <w:tcW w:w="2970" w:type="dxa"/>
          </w:tcPr>
          <w:p w14:paraId="4F98DA6E" w14:textId="44B30B70" w:rsidR="00953241" w:rsidRPr="00F51090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  <w:tc>
          <w:tcPr>
            <w:tcW w:w="2659" w:type="dxa"/>
          </w:tcPr>
          <w:p w14:paraId="36009D4E" w14:textId="77777777" w:rsidR="00953241" w:rsidRPr="00F51090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31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TGES005 Pro gradu -tutkielma (30 op)</w:t>
              </w:r>
            </w:hyperlink>
          </w:p>
        </w:tc>
        <w:tc>
          <w:tcPr>
            <w:tcW w:w="2798" w:type="dxa"/>
          </w:tcPr>
          <w:p w14:paraId="509F9007" w14:textId="77777777" w:rsidR="00953241" w:rsidRPr="00FE5341" w:rsidRDefault="00F0773D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32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TGES010 Geriatria (2 op)</w:t>
              </w:r>
            </w:hyperlink>
          </w:p>
          <w:p w14:paraId="14653C74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F51090">
              <w:rPr>
                <w:rFonts w:ascii="Arial Narrow" w:hAnsi="Arial Narrow"/>
                <w:sz w:val="20"/>
                <w:szCs w:val="20"/>
              </w:rPr>
              <w:t>arvitaanko?</w:t>
            </w:r>
          </w:p>
        </w:tc>
        <w:tc>
          <w:tcPr>
            <w:tcW w:w="2029" w:type="dxa"/>
          </w:tcPr>
          <w:p w14:paraId="0ACCF4CD" w14:textId="23CAA31A" w:rsidR="00953241" w:rsidRPr="00F51090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</w:tr>
      <w:tr w:rsidR="00953241" w:rsidRPr="00F51090" w14:paraId="6847E86B" w14:textId="77777777" w:rsidTr="00953241">
        <w:tc>
          <w:tcPr>
            <w:tcW w:w="2970" w:type="dxa"/>
          </w:tcPr>
          <w:p w14:paraId="448F3BF0" w14:textId="2FDFE700" w:rsidR="00953241" w:rsidRPr="00F51090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  <w:tc>
          <w:tcPr>
            <w:tcW w:w="2659" w:type="dxa"/>
          </w:tcPr>
          <w:p w14:paraId="45FB47AB" w14:textId="77777777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33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KTEA018 Näyttöön perustuva terveydenhuolto(2 op)</w:t>
              </w:r>
            </w:hyperlink>
          </w:p>
        </w:tc>
        <w:tc>
          <w:tcPr>
            <w:tcW w:w="2798" w:type="dxa"/>
          </w:tcPr>
          <w:p w14:paraId="53F95106" w14:textId="77777777" w:rsidR="00953241" w:rsidRPr="00F51090" w:rsidRDefault="00F0773D" w:rsidP="00953241">
            <w:pPr>
              <w:shd w:val="clear" w:color="auto" w:fill="F0F2F4"/>
              <w:rPr>
                <w:rFonts w:ascii="Arial Narrow" w:hAnsi="Arial Narrow"/>
                <w:sz w:val="20"/>
                <w:szCs w:val="20"/>
              </w:rPr>
            </w:pPr>
            <w:hyperlink r:id="rId34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TGES008 Gerontologinen kuntoutus (3 op)</w:t>
              </w:r>
            </w:hyperlink>
          </w:p>
        </w:tc>
        <w:tc>
          <w:tcPr>
            <w:tcW w:w="2029" w:type="dxa"/>
          </w:tcPr>
          <w:p w14:paraId="1EA62E38" w14:textId="3BADBA93" w:rsidR="00953241" w:rsidRPr="00F51090" w:rsidRDefault="00953241" w:rsidP="00953241">
            <w:pPr>
              <w:shd w:val="clear" w:color="auto" w:fill="F0F2F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3241" w:rsidRPr="00F51090" w14:paraId="3F868035" w14:textId="77777777" w:rsidTr="00953241">
        <w:tc>
          <w:tcPr>
            <w:tcW w:w="2970" w:type="dxa"/>
          </w:tcPr>
          <w:p w14:paraId="29AC350D" w14:textId="12DB6F7F" w:rsidR="00953241" w:rsidRPr="00F51090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  <w:tc>
          <w:tcPr>
            <w:tcW w:w="2659" w:type="dxa"/>
          </w:tcPr>
          <w:p w14:paraId="4E7C07F1" w14:textId="77777777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35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LTKS1001 Tutkimusetiikan syventäminen (2 op)</w:t>
              </w:r>
            </w:hyperlink>
          </w:p>
        </w:tc>
        <w:tc>
          <w:tcPr>
            <w:tcW w:w="2798" w:type="dxa"/>
          </w:tcPr>
          <w:p w14:paraId="074988B0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F51090">
              <w:rPr>
                <w:rFonts w:ascii="Arial Narrow" w:hAnsi="Arial Narrow"/>
                <w:sz w:val="20"/>
                <w:szCs w:val="20"/>
              </w:rPr>
              <w:t>arvittaisiinko lisää yhteiskunnallista/kulttuurista osaamista?</w:t>
            </w:r>
          </w:p>
        </w:tc>
        <w:tc>
          <w:tcPr>
            <w:tcW w:w="2029" w:type="dxa"/>
          </w:tcPr>
          <w:p w14:paraId="2B0D7D23" w14:textId="075129AA" w:rsidR="00953241" w:rsidRPr="00F51090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</w:tr>
      <w:tr w:rsidR="00953241" w:rsidRPr="00F51090" w14:paraId="78898C54" w14:textId="77777777" w:rsidTr="00953241">
        <w:tc>
          <w:tcPr>
            <w:tcW w:w="2970" w:type="dxa"/>
          </w:tcPr>
          <w:p w14:paraId="25F13896" w14:textId="4FB82005" w:rsidR="00953241" w:rsidRPr="00F51090" w:rsidRDefault="00953241" w:rsidP="00953241">
            <w:pPr>
              <w:shd w:val="clear" w:color="auto" w:fill="F0F2F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59" w:type="dxa"/>
          </w:tcPr>
          <w:p w14:paraId="3214A956" w14:textId="77777777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36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LTKS002 Kvantitatiivisten tutkimusmenetelmien syventäminen (3 - 5 op)</w:t>
              </w:r>
            </w:hyperlink>
          </w:p>
        </w:tc>
        <w:tc>
          <w:tcPr>
            <w:tcW w:w="2798" w:type="dxa"/>
          </w:tcPr>
          <w:p w14:paraId="5DB10FB9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9" w:type="dxa"/>
          </w:tcPr>
          <w:p w14:paraId="79597925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3241" w:rsidRPr="00F51090" w14:paraId="6C8526BC" w14:textId="77777777" w:rsidTr="00953241">
        <w:tc>
          <w:tcPr>
            <w:tcW w:w="2970" w:type="dxa"/>
          </w:tcPr>
          <w:p w14:paraId="4FD97783" w14:textId="5C3145DD" w:rsidR="00953241" w:rsidRPr="00F51090" w:rsidRDefault="00953241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  <w:tc>
          <w:tcPr>
            <w:tcW w:w="2659" w:type="dxa"/>
          </w:tcPr>
          <w:p w14:paraId="64CAC650" w14:textId="77777777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37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u w:val="single"/>
                  <w:lang w:eastAsia="fi-FI"/>
                </w:rPr>
                <w:t>TILP350 SPSS-kurssi (2 op)</w:t>
              </w:r>
            </w:hyperlink>
          </w:p>
        </w:tc>
        <w:tc>
          <w:tcPr>
            <w:tcW w:w="2798" w:type="dxa"/>
          </w:tcPr>
          <w:p w14:paraId="5226D037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9" w:type="dxa"/>
          </w:tcPr>
          <w:p w14:paraId="360EB010" w14:textId="69521C14" w:rsidR="00953241" w:rsidRPr="00F51090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</w:tr>
      <w:tr w:rsidR="00953241" w:rsidRPr="00F51090" w14:paraId="7DD7B852" w14:textId="77777777" w:rsidTr="00953241">
        <w:tc>
          <w:tcPr>
            <w:tcW w:w="2970" w:type="dxa"/>
          </w:tcPr>
          <w:p w14:paraId="6C730914" w14:textId="77777777" w:rsidR="00953241" w:rsidRPr="00F51090" w:rsidRDefault="00953241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  <w:tc>
          <w:tcPr>
            <w:tcW w:w="2659" w:type="dxa"/>
          </w:tcPr>
          <w:p w14:paraId="1430399B" w14:textId="77777777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00B0F0"/>
                <w:sz w:val="20"/>
                <w:szCs w:val="20"/>
                <w:lang w:eastAsia="fi-FI"/>
              </w:rPr>
            </w:pPr>
            <w:hyperlink r:id="rId38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LTKS004 Kvalitatiivisten tutkimusmenetelmien syventäminen 1(3 op)</w:t>
              </w:r>
            </w:hyperlink>
          </w:p>
        </w:tc>
        <w:tc>
          <w:tcPr>
            <w:tcW w:w="2798" w:type="dxa"/>
          </w:tcPr>
          <w:p w14:paraId="191EB42C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9" w:type="dxa"/>
          </w:tcPr>
          <w:p w14:paraId="49F2ACB0" w14:textId="0270FD57" w:rsidR="00953241" w:rsidRPr="00F51090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</w:tr>
      <w:tr w:rsidR="00953241" w:rsidRPr="00F51090" w14:paraId="16B9FDEF" w14:textId="77777777" w:rsidTr="00953241">
        <w:tc>
          <w:tcPr>
            <w:tcW w:w="2970" w:type="dxa"/>
          </w:tcPr>
          <w:p w14:paraId="0D394168" w14:textId="77777777" w:rsidR="00953241" w:rsidRPr="00F51090" w:rsidRDefault="00953241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  <w:tc>
          <w:tcPr>
            <w:tcW w:w="2659" w:type="dxa"/>
          </w:tcPr>
          <w:p w14:paraId="688EE761" w14:textId="77777777" w:rsidR="00953241" w:rsidRPr="00F51090" w:rsidRDefault="00F0773D" w:rsidP="00953241">
            <w:pPr>
              <w:pBdr>
                <w:left w:val="single" w:sz="12" w:space="12" w:color="EE5540"/>
              </w:pBd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  <w:hyperlink r:id="rId39" w:history="1">
              <w:r w:rsidR="00953241" w:rsidRPr="00F51090">
                <w:rPr>
                  <w:rFonts w:ascii="Arial Narrow" w:eastAsia="Times New Roman" w:hAnsi="Arial Narrow" w:cs="Times New Roman"/>
                  <w:color w:val="00B0F0"/>
                  <w:sz w:val="20"/>
                  <w:szCs w:val="20"/>
                  <w:lang w:eastAsia="fi-FI"/>
                </w:rPr>
                <w:t>LTKS005 Kvalitatiivisten tutkimusmenetelmien syventäminen 2(4 op)</w:t>
              </w:r>
            </w:hyperlink>
          </w:p>
        </w:tc>
        <w:tc>
          <w:tcPr>
            <w:tcW w:w="2798" w:type="dxa"/>
          </w:tcPr>
          <w:p w14:paraId="4D4F61B5" w14:textId="77777777" w:rsidR="00953241" w:rsidRPr="00F51090" w:rsidRDefault="00953241" w:rsidP="009532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9" w:type="dxa"/>
          </w:tcPr>
          <w:p w14:paraId="7964450D" w14:textId="5EEE7A2E" w:rsidR="00953241" w:rsidRPr="00F51090" w:rsidRDefault="00953241" w:rsidP="00953241">
            <w:pPr>
              <w:shd w:val="clear" w:color="auto" w:fill="F0F2F4"/>
              <w:rPr>
                <w:rFonts w:ascii="Arial Narrow" w:eastAsia="Times New Roman" w:hAnsi="Arial Narrow" w:cs="Times New Roman"/>
                <w:color w:val="212529"/>
                <w:sz w:val="20"/>
                <w:szCs w:val="20"/>
                <w:lang w:eastAsia="fi-FI"/>
              </w:rPr>
            </w:pPr>
          </w:p>
        </w:tc>
      </w:tr>
    </w:tbl>
    <w:p w14:paraId="16D08183" w14:textId="009C29B4" w:rsidR="00AB527B" w:rsidRPr="00AB527B" w:rsidRDefault="00195F0F" w:rsidP="00953241">
      <w:pPr>
        <w:spacing w:after="0" w:line="240" w:lineRule="auto"/>
      </w:pPr>
      <w:r w:rsidRPr="002C652E">
        <w:rPr>
          <w:rFonts w:ascii="Arial" w:hAnsi="Arial" w:cs="Arial"/>
          <w:color w:val="000000" w:themeColor="text1"/>
          <w:sz w:val="20"/>
          <w:szCs w:val="20"/>
        </w:rPr>
        <w:t xml:space="preserve">Taulukkoon </w:t>
      </w:r>
      <w:r w:rsidR="00953241" w:rsidRPr="00953241">
        <w:rPr>
          <w:rFonts w:ascii="Arial" w:hAnsi="Arial" w:cs="Arial"/>
          <w:color w:val="000000" w:themeColor="text1"/>
          <w:sz w:val="20"/>
          <w:szCs w:val="20"/>
        </w:rPr>
        <w:t>on listattu maisteriohjelman kurssit eli</w:t>
      </w:r>
      <w:r w:rsidR="00AB527B" w:rsidRPr="009532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B527B" w:rsidRPr="00AB527B">
        <w:rPr>
          <w:rFonts w:ascii="Arial" w:hAnsi="Arial" w:cs="Arial"/>
          <w:sz w:val="20"/>
          <w:szCs w:val="20"/>
        </w:rPr>
        <w:t>kaikille gerontologian opiskelijoille kuuluvat kurssit (</w:t>
      </w:r>
      <w:proofErr w:type="spellStart"/>
      <w:r w:rsidR="00AB527B" w:rsidRPr="00AB527B">
        <w:rPr>
          <w:rFonts w:ascii="Arial" w:hAnsi="Arial" w:cs="Arial"/>
          <w:sz w:val="20"/>
          <w:szCs w:val="20"/>
        </w:rPr>
        <w:t>yo+amk</w:t>
      </w:r>
      <w:proofErr w:type="spellEnd"/>
      <w:r w:rsidR="00AB527B" w:rsidRPr="00AB527B">
        <w:rPr>
          <w:rFonts w:ascii="Arial" w:hAnsi="Arial" w:cs="Arial"/>
          <w:sz w:val="20"/>
          <w:szCs w:val="20"/>
        </w:rPr>
        <w:t>)</w:t>
      </w:r>
      <w:r w:rsidR="00953241">
        <w:rPr>
          <w:rFonts w:ascii="Arial" w:hAnsi="Arial" w:cs="Arial"/>
          <w:sz w:val="20"/>
          <w:szCs w:val="20"/>
        </w:rPr>
        <w:t>.</w:t>
      </w:r>
      <w:r w:rsidR="00FB52BD">
        <w:rPr>
          <w:rFonts w:ascii="Arial" w:hAnsi="Arial" w:cs="Arial"/>
          <w:sz w:val="20"/>
          <w:szCs w:val="20"/>
        </w:rPr>
        <w:t xml:space="preserve"> </w:t>
      </w:r>
      <w:r w:rsidR="00FB52BD" w:rsidRPr="00FB52BD">
        <w:rPr>
          <w:rFonts w:ascii="Arial" w:hAnsi="Arial" w:cs="Arial"/>
          <w:sz w:val="20"/>
          <w:szCs w:val="20"/>
        </w:rPr>
        <w:t>Kurssin kohdalta hyperlinkki nykyiseen OPSiin</w:t>
      </w:r>
      <w:r w:rsidR="00FB52BD">
        <w:rPr>
          <w:rFonts w:ascii="Arial" w:hAnsi="Arial" w:cs="Arial"/>
          <w:sz w:val="20"/>
          <w:szCs w:val="20"/>
        </w:rPr>
        <w:t>.</w:t>
      </w:r>
    </w:p>
    <w:sectPr w:rsidR="00AB527B" w:rsidRPr="00AB527B" w:rsidSect="00AB52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4"/>
    <w:rsid w:val="00012248"/>
    <w:rsid w:val="00016F0B"/>
    <w:rsid w:val="000211B4"/>
    <w:rsid w:val="000265C2"/>
    <w:rsid w:val="000464FE"/>
    <w:rsid w:val="00071899"/>
    <w:rsid w:val="00074583"/>
    <w:rsid w:val="00074E09"/>
    <w:rsid w:val="0007588B"/>
    <w:rsid w:val="000853E8"/>
    <w:rsid w:val="000926B4"/>
    <w:rsid w:val="000B13B5"/>
    <w:rsid w:val="000C0E3F"/>
    <w:rsid w:val="000D0431"/>
    <w:rsid w:val="000E1EB1"/>
    <w:rsid w:val="000E4D30"/>
    <w:rsid w:val="0010694E"/>
    <w:rsid w:val="001233EB"/>
    <w:rsid w:val="001410AF"/>
    <w:rsid w:val="00163372"/>
    <w:rsid w:val="00163426"/>
    <w:rsid w:val="001771E9"/>
    <w:rsid w:val="00195F0F"/>
    <w:rsid w:val="001C1EDD"/>
    <w:rsid w:val="001D0A17"/>
    <w:rsid w:val="001E18A7"/>
    <w:rsid w:val="001E7BB2"/>
    <w:rsid w:val="002079B9"/>
    <w:rsid w:val="00210DF9"/>
    <w:rsid w:val="00246D83"/>
    <w:rsid w:val="002677C2"/>
    <w:rsid w:val="002A6726"/>
    <w:rsid w:val="002A7809"/>
    <w:rsid w:val="002B10FA"/>
    <w:rsid w:val="002B73E0"/>
    <w:rsid w:val="002C652E"/>
    <w:rsid w:val="002D5015"/>
    <w:rsid w:val="00317581"/>
    <w:rsid w:val="0033212E"/>
    <w:rsid w:val="00342996"/>
    <w:rsid w:val="00343B17"/>
    <w:rsid w:val="003570E7"/>
    <w:rsid w:val="003602FA"/>
    <w:rsid w:val="00370FD2"/>
    <w:rsid w:val="00392E69"/>
    <w:rsid w:val="003B1BA1"/>
    <w:rsid w:val="003B4DB9"/>
    <w:rsid w:val="003B77E1"/>
    <w:rsid w:val="003E601E"/>
    <w:rsid w:val="00413968"/>
    <w:rsid w:val="00414EF5"/>
    <w:rsid w:val="00430BCC"/>
    <w:rsid w:val="004404BC"/>
    <w:rsid w:val="00453268"/>
    <w:rsid w:val="00484219"/>
    <w:rsid w:val="00491579"/>
    <w:rsid w:val="004947A9"/>
    <w:rsid w:val="004960CB"/>
    <w:rsid w:val="004B06B6"/>
    <w:rsid w:val="004F2696"/>
    <w:rsid w:val="004F461C"/>
    <w:rsid w:val="005004BC"/>
    <w:rsid w:val="00527739"/>
    <w:rsid w:val="00532E3B"/>
    <w:rsid w:val="0053440B"/>
    <w:rsid w:val="005419DD"/>
    <w:rsid w:val="005762D9"/>
    <w:rsid w:val="005821B6"/>
    <w:rsid w:val="00584DC8"/>
    <w:rsid w:val="005E322D"/>
    <w:rsid w:val="0061627D"/>
    <w:rsid w:val="00633073"/>
    <w:rsid w:val="00640B24"/>
    <w:rsid w:val="00651DA7"/>
    <w:rsid w:val="00653D72"/>
    <w:rsid w:val="00686495"/>
    <w:rsid w:val="00686C08"/>
    <w:rsid w:val="00697B34"/>
    <w:rsid w:val="006A58FE"/>
    <w:rsid w:val="006C208A"/>
    <w:rsid w:val="0070672F"/>
    <w:rsid w:val="00707658"/>
    <w:rsid w:val="00713B21"/>
    <w:rsid w:val="007167C2"/>
    <w:rsid w:val="00727F6D"/>
    <w:rsid w:val="00742459"/>
    <w:rsid w:val="0078301F"/>
    <w:rsid w:val="007A7DFA"/>
    <w:rsid w:val="007B36B7"/>
    <w:rsid w:val="007C7CAF"/>
    <w:rsid w:val="007C7CD5"/>
    <w:rsid w:val="007D5BF7"/>
    <w:rsid w:val="0083298A"/>
    <w:rsid w:val="00891D1D"/>
    <w:rsid w:val="00892734"/>
    <w:rsid w:val="008970F4"/>
    <w:rsid w:val="008A000F"/>
    <w:rsid w:val="008B2AF2"/>
    <w:rsid w:val="008C3626"/>
    <w:rsid w:val="008C453C"/>
    <w:rsid w:val="00920ED2"/>
    <w:rsid w:val="009274F8"/>
    <w:rsid w:val="00953241"/>
    <w:rsid w:val="009A1E3A"/>
    <w:rsid w:val="009B4EED"/>
    <w:rsid w:val="009F1A19"/>
    <w:rsid w:val="00A02F6F"/>
    <w:rsid w:val="00A50D82"/>
    <w:rsid w:val="00A525EF"/>
    <w:rsid w:val="00A53595"/>
    <w:rsid w:val="00A61FF4"/>
    <w:rsid w:val="00A71DA4"/>
    <w:rsid w:val="00A83661"/>
    <w:rsid w:val="00AB527B"/>
    <w:rsid w:val="00AC09E7"/>
    <w:rsid w:val="00AC3C49"/>
    <w:rsid w:val="00AE6C9B"/>
    <w:rsid w:val="00B03A53"/>
    <w:rsid w:val="00B40F9A"/>
    <w:rsid w:val="00B43D94"/>
    <w:rsid w:val="00B75926"/>
    <w:rsid w:val="00B84E97"/>
    <w:rsid w:val="00BA36A7"/>
    <w:rsid w:val="00BA4276"/>
    <w:rsid w:val="00BB116A"/>
    <w:rsid w:val="00BC48A8"/>
    <w:rsid w:val="00BE5A1B"/>
    <w:rsid w:val="00BF0793"/>
    <w:rsid w:val="00C028E0"/>
    <w:rsid w:val="00C76D10"/>
    <w:rsid w:val="00CB2E30"/>
    <w:rsid w:val="00CB68E1"/>
    <w:rsid w:val="00CE4D8D"/>
    <w:rsid w:val="00CF566D"/>
    <w:rsid w:val="00D213BB"/>
    <w:rsid w:val="00D31DF3"/>
    <w:rsid w:val="00D320B8"/>
    <w:rsid w:val="00D84B78"/>
    <w:rsid w:val="00DA6F7D"/>
    <w:rsid w:val="00DB7E5E"/>
    <w:rsid w:val="00DC2AC6"/>
    <w:rsid w:val="00DD1381"/>
    <w:rsid w:val="00DE0AF9"/>
    <w:rsid w:val="00DE0D3D"/>
    <w:rsid w:val="00DE21AE"/>
    <w:rsid w:val="00E03559"/>
    <w:rsid w:val="00E060EF"/>
    <w:rsid w:val="00E23DE1"/>
    <w:rsid w:val="00E52CA1"/>
    <w:rsid w:val="00E64016"/>
    <w:rsid w:val="00E70911"/>
    <w:rsid w:val="00E7125F"/>
    <w:rsid w:val="00E847ED"/>
    <w:rsid w:val="00EA6E41"/>
    <w:rsid w:val="00EC5914"/>
    <w:rsid w:val="00EF24E9"/>
    <w:rsid w:val="00EF5FCD"/>
    <w:rsid w:val="00F02AB0"/>
    <w:rsid w:val="00F0773D"/>
    <w:rsid w:val="00F171A6"/>
    <w:rsid w:val="00F1781F"/>
    <w:rsid w:val="00F214C1"/>
    <w:rsid w:val="00F26D94"/>
    <w:rsid w:val="00F447CF"/>
    <w:rsid w:val="00F51756"/>
    <w:rsid w:val="00F67C2A"/>
    <w:rsid w:val="00F9786B"/>
    <w:rsid w:val="00FB0190"/>
    <w:rsid w:val="00FB4698"/>
    <w:rsid w:val="00FB52BD"/>
    <w:rsid w:val="00FC122F"/>
    <w:rsid w:val="00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2A37"/>
  <w15:chartTrackingRefBased/>
  <w15:docId w15:val="{59464FCB-10BE-4178-8949-F49F2237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2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5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AB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B527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7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B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ops/fi/sport/gerontologian-ja-kansanterveyden-maisteriohjelma-amk/unit/4924" TargetMode="External"/><Relationship Id="rId13" Type="http://schemas.openxmlformats.org/officeDocument/2006/relationships/hyperlink" Target="https://www.jyu.fi/ops/fi/sport/gerontologian-ja-kansanterveyden-maisteriohjelma-amk/unit/4935" TargetMode="External"/><Relationship Id="rId18" Type="http://schemas.openxmlformats.org/officeDocument/2006/relationships/hyperlink" Target="https://www.jyu.fi/ops/fi/sport/gerontologian-ja-kansanterveyden-maisteriohjelma-amk/unit/6002" TargetMode="External"/><Relationship Id="rId26" Type="http://schemas.openxmlformats.org/officeDocument/2006/relationships/hyperlink" Target="https://www.jyu.fi/ops/fi/sport/gerontologian-ja-kansanterveyden-maisteriohjelma-amk/unit/11618" TargetMode="External"/><Relationship Id="rId39" Type="http://schemas.openxmlformats.org/officeDocument/2006/relationships/hyperlink" Target="https://www.jyu.fi/ops/fi/sport/gerontologian-ja-kansanterveyden-maisteriohjelma-amk/unit/59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yu.fi/ops/fi/sport/gerontologian-ja-kansanterveyden-maisteriohjelma-amk/unit/6014" TargetMode="External"/><Relationship Id="rId34" Type="http://schemas.openxmlformats.org/officeDocument/2006/relationships/hyperlink" Target="https://www.jyu.fi/ops/fi/sport/gerontologian-ja-kansanterveyden-maisteriohjelma-amk/unit/9795" TargetMode="External"/><Relationship Id="rId7" Type="http://schemas.openxmlformats.org/officeDocument/2006/relationships/hyperlink" Target="https://www.jyu.fi/ops/fi/sport/gerontologian-ja-kansanterveyden-maisteriohjelma-amk/unit/4943" TargetMode="External"/><Relationship Id="rId12" Type="http://schemas.openxmlformats.org/officeDocument/2006/relationships/hyperlink" Target="https://www.jyu.fi/ops/fi/sport/gerontologian-ja-kansanterveyden-maisteriohjelma-amk/unit/4925" TargetMode="External"/><Relationship Id="rId17" Type="http://schemas.openxmlformats.org/officeDocument/2006/relationships/hyperlink" Target="https://www.jyu.fi/ops/fi/sport/gerontologian-ja-kansanterveyden-maisteriohjelma-amk/unit/4918" TargetMode="External"/><Relationship Id="rId25" Type="http://schemas.openxmlformats.org/officeDocument/2006/relationships/hyperlink" Target="https://www.jyu.fi/ops/fi/sport/gerontologian-ja-kansanterveyden-maisteriohjelma-amk/unit/15230" TargetMode="External"/><Relationship Id="rId33" Type="http://schemas.openxmlformats.org/officeDocument/2006/relationships/hyperlink" Target="https://www.jyu.fi/ops/fi/sport/gerontologian-ja-kansanterveyden-maisteriohjelma-amk/unit/4929" TargetMode="External"/><Relationship Id="rId38" Type="http://schemas.openxmlformats.org/officeDocument/2006/relationships/hyperlink" Target="https://www.jyu.fi/ops/fi/sport/gerontologian-ja-kansanterveyden-maisteriohjelma-amk/unit/59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yu.fi/ops/fi/sport/gerontologian-ja-kansanterveyden-maisteriohjelma-amk/unit/4961" TargetMode="External"/><Relationship Id="rId20" Type="http://schemas.openxmlformats.org/officeDocument/2006/relationships/hyperlink" Target="https://www.jyu.fi/ops/fi/sport/gerontologian-ja-kansanterveyden-maisteriohjelma-amk/unit/4953" TargetMode="External"/><Relationship Id="rId29" Type="http://schemas.openxmlformats.org/officeDocument/2006/relationships/hyperlink" Target="https://www.jyu.fi/ops/fi/sport/gerontologian-ja-kansanterveyden-maisteriohjelma-amk/unit/979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jyu.fi/ops/fi/sport/gerontologian-ja-kansanterveyden-maisteriohjelma-amk/unit/4956" TargetMode="External"/><Relationship Id="rId11" Type="http://schemas.openxmlformats.org/officeDocument/2006/relationships/hyperlink" Target="https://www.jyu.fi/ops/fi/sport/gerontologian-ja-kansanterveyden-maisteriohjelma-amk/unit/4944" TargetMode="External"/><Relationship Id="rId24" Type="http://schemas.openxmlformats.org/officeDocument/2006/relationships/hyperlink" Target="https://www.jyu.fi/ops/fi/sport/gerontologian-ja-kansanterveyden-maisteriohjelma-amk/unit/18113" TargetMode="External"/><Relationship Id="rId32" Type="http://schemas.openxmlformats.org/officeDocument/2006/relationships/hyperlink" Target="https://www.jyu.fi/ops/fi/sport/gerontologian-ja-kansanterveyden-maisteriohjelma-amk/unit/9797" TargetMode="External"/><Relationship Id="rId37" Type="http://schemas.openxmlformats.org/officeDocument/2006/relationships/hyperlink" Target="https://www.jyu.fi/ops/fi/sport/gerontologian-ja-kansanterveyden-maisteriohjelma-amk/unit/1026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jyu.fi/ops/fi/sport/gerontologian-ja-kansanterveyden-maisteriohjelma-amk/unit/9801" TargetMode="External"/><Relationship Id="rId15" Type="http://schemas.openxmlformats.org/officeDocument/2006/relationships/hyperlink" Target="https://www.jyu.fi/ops/fi/sport/gerontologian-ja-kansanterveyden-maisteriohjelma-amk/unit/15227" TargetMode="External"/><Relationship Id="rId23" Type="http://schemas.openxmlformats.org/officeDocument/2006/relationships/hyperlink" Target="https://www.jyu.fi/ops/fi/sport/gerontologian-ja-kansanterveyden-maisteriohjelma-amk/unit/9790" TargetMode="External"/><Relationship Id="rId28" Type="http://schemas.openxmlformats.org/officeDocument/2006/relationships/hyperlink" Target="https://www.jyu.fi/ops/fi/sport/gerontologian-ja-kansanterveyden-maisteriohjelma-amk/unit/15231" TargetMode="External"/><Relationship Id="rId36" Type="http://schemas.openxmlformats.org/officeDocument/2006/relationships/hyperlink" Target="https://www.jyu.fi/ops/fi/sport/gerontologian-ja-kansanterveyden-maisteriohjelma-amk/unit/5995" TargetMode="External"/><Relationship Id="rId10" Type="http://schemas.openxmlformats.org/officeDocument/2006/relationships/hyperlink" Target="https://www.jyu.fi/ops/fi/sport/gerontologian-ja-kansanterveyden-maisteriohjelma-amk/unit/9766" TargetMode="External"/><Relationship Id="rId19" Type="http://schemas.openxmlformats.org/officeDocument/2006/relationships/hyperlink" Target="https://www.jyu.fi/ops/fi/sport/gerontologian-ja-kansanterveyden-maisteriohjelma-amk/unit/15228" TargetMode="External"/><Relationship Id="rId31" Type="http://schemas.openxmlformats.org/officeDocument/2006/relationships/hyperlink" Target="https://www.jyu.fi/ops/fi/sport/gerontologian-ja-kansanterveyden-maisteriohjelma-amk/unit/9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yu.fi/ops/fi/sport/gerontologian-ja-kansanterveyden-maisteriohjelma-amk/unit/9815" TargetMode="External"/><Relationship Id="rId14" Type="http://schemas.openxmlformats.org/officeDocument/2006/relationships/hyperlink" Target="https://www.jyu.fi/ops/fi/sport/gerontologian-ja-kansanterveyden-maisteriohjelma-amk/unit/9759" TargetMode="External"/><Relationship Id="rId22" Type="http://schemas.openxmlformats.org/officeDocument/2006/relationships/hyperlink" Target="https://www.jyu.fi/ops/fi/sport/gerontologian-ja-kansanterveyden-maisteriohjelma-amk/unit/15229" TargetMode="External"/><Relationship Id="rId27" Type="http://schemas.openxmlformats.org/officeDocument/2006/relationships/hyperlink" Target="https://www.jyu.fi/ops/fi/sport/gerontologian-ja-kansanterveyden-maisteriohjelma-amk/unit/18114" TargetMode="External"/><Relationship Id="rId30" Type="http://schemas.openxmlformats.org/officeDocument/2006/relationships/hyperlink" Target="https://www.jyu.fi/ops/fi/sport/gerontologian-ja-kansanterveyden-maisteriohjelma-amk/unit/15232" TargetMode="External"/><Relationship Id="rId35" Type="http://schemas.openxmlformats.org/officeDocument/2006/relationships/hyperlink" Target="https://www.jyu.fi/ops/fi/sport/gerontologian-ja-kansanterveyden-maisteriohjelma-amk/unit/18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807B4-D466-4CD0-BFB4-2FFE477C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1259</Words>
  <Characters>10199</Characters>
  <Application>Microsoft Office Word</Application>
  <DocSecurity>4</DocSecurity>
  <Lines>84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Turunen, Katri</dc:creator>
  <cp:keywords/>
  <dc:description/>
  <cp:lastModifiedBy>Bottas, Reijo</cp:lastModifiedBy>
  <cp:revision>2</cp:revision>
  <cp:lastPrinted>2019-03-28T08:07:00Z</cp:lastPrinted>
  <dcterms:created xsi:type="dcterms:W3CDTF">2019-03-28T08:08:00Z</dcterms:created>
  <dcterms:modified xsi:type="dcterms:W3CDTF">2019-03-28T08:08:00Z</dcterms:modified>
</cp:coreProperties>
</file>