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0384" w:rsidRPr="00460384" w:rsidRDefault="00460384" w:rsidP="00460384">
      <w:pPr>
        <w:shd w:val="clear" w:color="auto" w:fill="FFFFFF"/>
        <w:spacing w:after="375" w:line="312" w:lineRule="atLeast"/>
        <w:ind w:right="150"/>
        <w:outlineLvl w:val="0"/>
        <w:rPr>
          <w:rFonts w:ascii="Source Sans Pro" w:eastAsia="Times New Roman" w:hAnsi="Source Sans Pro" w:cs="Times New Roman"/>
          <w:b/>
          <w:bCs/>
          <w:color w:val="519B2F"/>
          <w:kern w:val="36"/>
          <w:sz w:val="51"/>
          <w:szCs w:val="51"/>
          <w:lang w:eastAsia="fi-FI"/>
        </w:rPr>
      </w:pPr>
      <w:r w:rsidRPr="00460384">
        <w:rPr>
          <w:rFonts w:ascii="Source Sans Pro" w:eastAsia="Times New Roman" w:hAnsi="Source Sans Pro" w:cs="Times New Roman"/>
          <w:b/>
          <w:bCs/>
          <w:color w:val="519B2F"/>
          <w:kern w:val="36"/>
          <w:sz w:val="51"/>
          <w:szCs w:val="51"/>
          <w:lang w:eastAsia="fi-FI"/>
        </w:rPr>
        <w:t>Tupakoinnin hintalappu yhteiskunnalle: 1,5 miljardia euroa</w:t>
      </w:r>
    </w:p>
    <w:p w:rsidR="00460384" w:rsidRPr="00460384" w:rsidRDefault="00460384" w:rsidP="00460384">
      <w:pPr>
        <w:shd w:val="clear" w:color="auto" w:fill="FFFFFF"/>
        <w:spacing w:after="240" w:line="360" w:lineRule="atLeast"/>
        <w:rPr>
          <w:rFonts w:ascii="Source Sans Pro" w:eastAsia="Times New Roman" w:hAnsi="Source Sans Pro" w:cs="Times New Roman"/>
          <w:color w:val="303030"/>
          <w:sz w:val="24"/>
          <w:szCs w:val="24"/>
          <w:lang w:eastAsia="fi-FI"/>
        </w:rPr>
      </w:pPr>
      <w:r w:rsidRPr="00460384">
        <w:rPr>
          <w:rFonts w:ascii="Source Sans Pro" w:eastAsia="Times New Roman" w:hAnsi="Source Sans Pro" w:cs="Times New Roman"/>
          <w:color w:val="303030"/>
          <w:sz w:val="24"/>
          <w:szCs w:val="24"/>
          <w:lang w:eastAsia="fi-FI"/>
        </w:rPr>
        <w:t>Tupakointi aiheuttaa haittaa terveydelle ja taloudelle monin eri tavoin. Terveydenhuollon kuormittuminen, tulipalot, sairauspoissaolot, ennenaikaiset kuolemat sekä tulonsiirrot kuten sairauspäivärahat maksoivat vuonna 2012 yhteensä noin 1,5 miljardia, arvioidaan Terveyden ja hyvinvoinnin laitoksen tuoreessa raportissa ”Tupakoinnin yhteiskunnalliset kustannukset ja niiden arviointimenetelmät”.  </w:t>
      </w:r>
    </w:p>
    <w:p w:rsidR="00460384" w:rsidRPr="00460384" w:rsidRDefault="00460384" w:rsidP="00460384">
      <w:pPr>
        <w:shd w:val="clear" w:color="auto" w:fill="FFFFFF"/>
        <w:spacing w:after="240" w:line="360" w:lineRule="atLeast"/>
        <w:rPr>
          <w:rFonts w:ascii="Source Sans Pro" w:eastAsia="Times New Roman" w:hAnsi="Source Sans Pro" w:cs="Times New Roman"/>
          <w:color w:val="303030"/>
          <w:sz w:val="24"/>
          <w:szCs w:val="24"/>
          <w:lang w:eastAsia="fi-FI"/>
        </w:rPr>
      </w:pPr>
      <w:r w:rsidRPr="00460384">
        <w:rPr>
          <w:rFonts w:ascii="Source Sans Pro" w:eastAsia="Times New Roman" w:hAnsi="Source Sans Pro" w:cs="Times New Roman"/>
          <w:color w:val="303030"/>
          <w:sz w:val="24"/>
          <w:szCs w:val="24"/>
          <w:lang w:eastAsia="fi-FI"/>
        </w:rPr>
        <w:t xml:space="preserve">Tupakoinnin välittömät kustannukset eli esimerkiksi terveydenhuollon </w:t>
      </w:r>
      <w:proofErr w:type="gramStart"/>
      <w:r w:rsidRPr="00460384">
        <w:rPr>
          <w:rFonts w:ascii="Source Sans Pro" w:eastAsia="Times New Roman" w:hAnsi="Source Sans Pro" w:cs="Times New Roman"/>
          <w:color w:val="303030"/>
          <w:sz w:val="24"/>
          <w:szCs w:val="24"/>
          <w:lang w:eastAsia="fi-FI"/>
        </w:rPr>
        <w:t>menot  aiheuttivat</w:t>
      </w:r>
      <w:proofErr w:type="gramEnd"/>
      <w:r w:rsidRPr="00460384">
        <w:rPr>
          <w:rFonts w:ascii="Source Sans Pro" w:eastAsia="Times New Roman" w:hAnsi="Source Sans Pro" w:cs="Times New Roman"/>
          <w:color w:val="303030"/>
          <w:sz w:val="24"/>
          <w:szCs w:val="24"/>
          <w:lang w:eastAsia="fi-FI"/>
        </w:rPr>
        <w:t xml:space="preserve"> vuonna 2012 no</w:t>
      </w:r>
      <w:r w:rsidR="00DB3AA8">
        <w:rPr>
          <w:rFonts w:ascii="Source Sans Pro" w:eastAsia="Times New Roman" w:hAnsi="Source Sans Pro" w:cs="Times New Roman"/>
          <w:color w:val="303030"/>
          <w:sz w:val="24"/>
          <w:szCs w:val="24"/>
          <w:lang w:eastAsia="fi-FI"/>
        </w:rPr>
        <w:t>in 277</w:t>
      </w:r>
      <w:bookmarkStart w:id="0" w:name="_GoBack"/>
      <w:bookmarkEnd w:id="0"/>
      <w:r w:rsidRPr="00460384">
        <w:rPr>
          <w:rFonts w:ascii="Source Sans Pro" w:eastAsia="Times New Roman" w:hAnsi="Source Sans Pro" w:cs="Times New Roman"/>
          <w:color w:val="303030"/>
          <w:sz w:val="24"/>
          <w:szCs w:val="24"/>
          <w:lang w:eastAsia="fi-FI"/>
        </w:rPr>
        <w:t xml:space="preserve"> miljoonan euron kulut. Tupakoinnin aiheuttamat tulonsiirrot, kuten sairauspäivärahat, ovat yhteenlaskettuna noin 327 miljoonaa euroa.</w:t>
      </w:r>
    </w:p>
    <w:p w:rsidR="00460384" w:rsidRPr="00460384" w:rsidRDefault="00460384" w:rsidP="00460384">
      <w:pPr>
        <w:shd w:val="clear" w:color="auto" w:fill="FFFFFF"/>
        <w:spacing w:after="240" w:line="360" w:lineRule="atLeast"/>
        <w:rPr>
          <w:rFonts w:ascii="Source Sans Pro" w:eastAsia="Times New Roman" w:hAnsi="Source Sans Pro" w:cs="Times New Roman"/>
          <w:color w:val="303030"/>
          <w:sz w:val="24"/>
          <w:szCs w:val="24"/>
          <w:lang w:eastAsia="fi-FI"/>
        </w:rPr>
      </w:pPr>
      <w:r w:rsidRPr="00460384">
        <w:rPr>
          <w:rFonts w:ascii="Source Sans Pro" w:eastAsia="Times New Roman" w:hAnsi="Source Sans Pro" w:cs="Times New Roman"/>
          <w:color w:val="303030"/>
          <w:sz w:val="24"/>
          <w:szCs w:val="24"/>
          <w:lang w:eastAsia="fi-FI"/>
        </w:rPr>
        <w:t>Välittömät taloudelliset haitat nousevat näin noin 617 miljoonaan euroon. </w:t>
      </w:r>
    </w:p>
    <w:p w:rsidR="00460384" w:rsidRPr="00460384" w:rsidRDefault="00460384" w:rsidP="00460384">
      <w:pPr>
        <w:shd w:val="clear" w:color="auto" w:fill="FFFFFF"/>
        <w:spacing w:before="225" w:after="150" w:line="336" w:lineRule="atLeast"/>
        <w:outlineLvl w:val="1"/>
        <w:rPr>
          <w:rFonts w:ascii="Source Sans Pro" w:eastAsia="Times New Roman" w:hAnsi="Source Sans Pro" w:cs="Times New Roman"/>
          <w:color w:val="303030"/>
          <w:sz w:val="39"/>
          <w:szCs w:val="39"/>
          <w:lang w:eastAsia="fi-FI"/>
        </w:rPr>
      </w:pPr>
      <w:r w:rsidRPr="00460384">
        <w:rPr>
          <w:rFonts w:ascii="Source Sans Pro" w:eastAsia="Times New Roman" w:hAnsi="Source Sans Pro" w:cs="Times New Roman"/>
          <w:color w:val="303030"/>
          <w:sz w:val="39"/>
          <w:szCs w:val="39"/>
          <w:lang w:eastAsia="fi-FI"/>
        </w:rPr>
        <w:t>Välilliset kustannukset vielä suuremmat</w:t>
      </w:r>
    </w:p>
    <w:p w:rsidR="00460384" w:rsidRPr="00460384" w:rsidRDefault="00460384" w:rsidP="00460384">
      <w:pPr>
        <w:shd w:val="clear" w:color="auto" w:fill="FFFFFF"/>
        <w:spacing w:after="240" w:line="360" w:lineRule="atLeast"/>
        <w:rPr>
          <w:rFonts w:ascii="Source Sans Pro" w:eastAsia="Times New Roman" w:hAnsi="Source Sans Pro" w:cs="Times New Roman"/>
          <w:color w:val="303030"/>
          <w:sz w:val="24"/>
          <w:szCs w:val="24"/>
          <w:lang w:eastAsia="fi-FI"/>
        </w:rPr>
      </w:pPr>
      <w:r w:rsidRPr="00460384">
        <w:rPr>
          <w:rFonts w:ascii="Source Sans Pro" w:eastAsia="Times New Roman" w:hAnsi="Source Sans Pro" w:cs="Times New Roman"/>
          <w:color w:val="303030"/>
          <w:sz w:val="24"/>
          <w:szCs w:val="24"/>
          <w:lang w:eastAsia="fi-FI"/>
        </w:rPr>
        <w:t>Välillisissä kustannuksissa huomioidaan, kuinka paljon potentiaalista tuotantoa menetetään tupakoinnin vuoksi. Välillisiksi kustannuksiksi laskettiin tupakointikuolemien ja työkyvyttömyyseläkkeiden aiheuttamat tuotannonmenetykset sekä työntekijöiden sairauspoissaolojen ja luvattomien tupakkataukojen aiheuttamat menetykset työajassa.</w:t>
      </w:r>
    </w:p>
    <w:p w:rsidR="00460384" w:rsidRPr="00460384" w:rsidRDefault="00460384" w:rsidP="00460384">
      <w:pPr>
        <w:shd w:val="clear" w:color="auto" w:fill="FFFFFF"/>
        <w:spacing w:after="240" w:line="360" w:lineRule="atLeast"/>
        <w:rPr>
          <w:rFonts w:ascii="Source Sans Pro" w:eastAsia="Times New Roman" w:hAnsi="Source Sans Pro" w:cs="Times New Roman"/>
          <w:color w:val="303030"/>
          <w:sz w:val="24"/>
          <w:szCs w:val="24"/>
          <w:lang w:eastAsia="fi-FI"/>
        </w:rPr>
      </w:pPr>
      <w:r w:rsidRPr="00460384">
        <w:rPr>
          <w:rFonts w:ascii="Source Sans Pro" w:eastAsia="Times New Roman" w:hAnsi="Source Sans Pro" w:cs="Times New Roman"/>
          <w:color w:val="303030"/>
          <w:sz w:val="24"/>
          <w:szCs w:val="24"/>
          <w:lang w:eastAsia="fi-FI"/>
        </w:rPr>
        <w:t>Välillisiksi kustannuksiksi arvioidaan yhteensä noin 840–930 miljoonaa euroa.</w:t>
      </w:r>
    </w:p>
    <w:p w:rsidR="00460384" w:rsidRPr="00460384" w:rsidRDefault="00460384" w:rsidP="00460384">
      <w:pPr>
        <w:shd w:val="clear" w:color="auto" w:fill="FFFFFF"/>
        <w:spacing w:after="240" w:line="360" w:lineRule="atLeast"/>
        <w:rPr>
          <w:rFonts w:ascii="Source Sans Pro" w:eastAsia="Times New Roman" w:hAnsi="Source Sans Pro" w:cs="Times New Roman"/>
          <w:color w:val="303030"/>
          <w:sz w:val="24"/>
          <w:szCs w:val="24"/>
          <w:lang w:eastAsia="fi-FI"/>
        </w:rPr>
      </w:pPr>
      <w:r w:rsidRPr="00460384">
        <w:rPr>
          <w:rFonts w:ascii="Source Sans Pro" w:eastAsia="Times New Roman" w:hAnsi="Source Sans Pro" w:cs="Times New Roman"/>
          <w:color w:val="303030"/>
          <w:sz w:val="24"/>
          <w:szCs w:val="24"/>
          <w:lang w:eastAsia="fi-FI"/>
        </w:rPr>
        <w:t>Tupakoinnin arvioidaan aiheuttaneen vuonna 2012 Suomessa runsaat 700 uutta työkyvyttömyyseläkejaksoa, yli 800 000 sairauslomapäivää ja noin 4 300–4 500 kuolemaa. Tupakoinnin arvioidaan olleen syynä noin 17 prosentissa kaikista 35–64-vuotiaiden kuolemista.</w:t>
      </w:r>
    </w:p>
    <w:p w:rsidR="00460384" w:rsidRPr="00460384" w:rsidRDefault="00460384" w:rsidP="00460384">
      <w:pPr>
        <w:shd w:val="clear" w:color="auto" w:fill="FFFFFF"/>
        <w:spacing w:after="240" w:line="360" w:lineRule="atLeast"/>
        <w:rPr>
          <w:rFonts w:ascii="Source Sans Pro" w:eastAsia="Times New Roman" w:hAnsi="Source Sans Pro" w:cs="Times New Roman"/>
          <w:color w:val="303030"/>
          <w:sz w:val="24"/>
          <w:szCs w:val="24"/>
          <w:lang w:eastAsia="fi-FI"/>
        </w:rPr>
      </w:pPr>
      <w:r w:rsidRPr="00460384">
        <w:rPr>
          <w:rFonts w:ascii="Source Sans Pro" w:eastAsia="Times New Roman" w:hAnsi="Source Sans Pro" w:cs="Times New Roman"/>
          <w:color w:val="303030"/>
          <w:sz w:val="24"/>
          <w:szCs w:val="24"/>
          <w:lang w:eastAsia="fi-FI"/>
        </w:rPr>
        <w:t>Selvityksessä taloudellisia haittoja arvioitiin tupakoinnin aiheuttamien tautien kautta. Tupakkataudeiksi kutsutaan niitä tauteja, joissa tupakointi on merkittävä riskitekijä. Näitä ns. tupakkatauteja ovat erilaiset syövät, sydän- ja verisuonitaudit, hengityselinten sairaudet ja raskaana olevien naisten tupakoinnista heidän lapsilleen aiheutuvat ongelmat, kuten pieni syntymäpaino. </w:t>
      </w:r>
    </w:p>
    <w:p w:rsidR="00460384" w:rsidRPr="00460384" w:rsidRDefault="00460384" w:rsidP="00460384">
      <w:pPr>
        <w:shd w:val="clear" w:color="auto" w:fill="FFFFFF"/>
        <w:spacing w:after="240" w:line="360" w:lineRule="atLeast"/>
        <w:rPr>
          <w:rFonts w:ascii="Source Sans Pro" w:eastAsia="Times New Roman" w:hAnsi="Source Sans Pro" w:cs="Times New Roman"/>
          <w:color w:val="303030"/>
          <w:sz w:val="24"/>
          <w:szCs w:val="24"/>
          <w:lang w:eastAsia="fi-FI"/>
        </w:rPr>
      </w:pPr>
      <w:r w:rsidRPr="00460384">
        <w:rPr>
          <w:rFonts w:ascii="Source Sans Pro" w:eastAsia="Times New Roman" w:hAnsi="Source Sans Pro" w:cs="Times New Roman"/>
          <w:color w:val="303030"/>
          <w:sz w:val="24"/>
          <w:szCs w:val="24"/>
          <w:lang w:eastAsia="fi-FI"/>
        </w:rPr>
        <w:t xml:space="preserve"> ”Jos tupakointia onnistutaan vähentämään, tuo se helpotusta erityisesti terveydenhuollon tilanteeseen. Tupakointi aiheutti vuonna 2012 arviolta noin 340 000 vuodeosastohoitopäivää ja noin 187 000 hoitokäyntiä”, sanoo </w:t>
      </w:r>
      <w:proofErr w:type="spellStart"/>
      <w:r w:rsidRPr="00460384">
        <w:rPr>
          <w:rFonts w:ascii="Source Sans Pro" w:eastAsia="Times New Roman" w:hAnsi="Source Sans Pro" w:cs="Times New Roman"/>
          <w:color w:val="303030"/>
          <w:sz w:val="24"/>
          <w:szCs w:val="24"/>
          <w:lang w:eastAsia="fi-FI"/>
        </w:rPr>
        <w:t>THL:n</w:t>
      </w:r>
      <w:proofErr w:type="spellEnd"/>
      <w:r w:rsidRPr="00460384">
        <w:rPr>
          <w:rFonts w:ascii="Source Sans Pro" w:eastAsia="Times New Roman" w:hAnsi="Source Sans Pro" w:cs="Times New Roman"/>
          <w:color w:val="303030"/>
          <w:sz w:val="24"/>
          <w:szCs w:val="24"/>
          <w:lang w:eastAsia="fi-FI"/>
        </w:rPr>
        <w:t xml:space="preserve"> kehittämispäällikkö </w:t>
      </w:r>
      <w:r w:rsidRPr="00460384">
        <w:rPr>
          <w:rFonts w:ascii="Source Sans Pro" w:eastAsia="Times New Roman" w:hAnsi="Source Sans Pro" w:cs="Times New Roman"/>
          <w:b/>
          <w:bCs/>
          <w:color w:val="303030"/>
          <w:sz w:val="24"/>
          <w:szCs w:val="24"/>
          <w:lang w:eastAsia="fi-FI"/>
        </w:rPr>
        <w:t>Miikka Vähänen</w:t>
      </w:r>
      <w:r w:rsidRPr="00460384">
        <w:rPr>
          <w:rFonts w:ascii="Source Sans Pro" w:eastAsia="Times New Roman" w:hAnsi="Source Sans Pro" w:cs="Times New Roman"/>
          <w:color w:val="303030"/>
          <w:sz w:val="24"/>
          <w:szCs w:val="24"/>
          <w:lang w:eastAsia="fi-FI"/>
        </w:rPr>
        <w:t>.</w:t>
      </w:r>
    </w:p>
    <w:p w:rsidR="00460384" w:rsidRPr="00460384" w:rsidRDefault="00460384" w:rsidP="00460384">
      <w:pPr>
        <w:shd w:val="clear" w:color="auto" w:fill="FFFFFF"/>
        <w:spacing w:after="240" w:line="360" w:lineRule="atLeast"/>
        <w:rPr>
          <w:rFonts w:ascii="Source Sans Pro" w:eastAsia="Times New Roman" w:hAnsi="Source Sans Pro" w:cs="Times New Roman"/>
          <w:color w:val="303030"/>
          <w:sz w:val="24"/>
          <w:szCs w:val="24"/>
          <w:lang w:eastAsia="fi-FI"/>
        </w:rPr>
      </w:pPr>
      <w:r w:rsidRPr="00460384">
        <w:rPr>
          <w:rFonts w:ascii="Source Sans Pro" w:eastAsia="Times New Roman" w:hAnsi="Source Sans Pro" w:cs="Times New Roman"/>
          <w:color w:val="303030"/>
          <w:sz w:val="24"/>
          <w:szCs w:val="24"/>
          <w:lang w:eastAsia="fi-FI"/>
        </w:rPr>
        <w:lastRenderedPageBreak/>
        <w:t>Tupakoinnista aiheutuvat sairaanhoitokulut ovat suuremmat kuin esimerkiksi alkoholiin liittyvät. Tupakoinnista johtuvat sairaanhoitokulut olivat vuonna 2012 210 miljoonaa euroa. THL arvioi saman vuoden alkoholiin liittyviksi sairaanhoitokuluiksi enintään 142 miljoonaa euroa. </w:t>
      </w:r>
    </w:p>
    <w:p w:rsidR="00460384" w:rsidRPr="00460384" w:rsidRDefault="00460384" w:rsidP="00460384">
      <w:pPr>
        <w:shd w:val="clear" w:color="auto" w:fill="FFFFFF"/>
        <w:spacing w:after="240" w:line="360" w:lineRule="atLeast"/>
        <w:rPr>
          <w:rFonts w:ascii="Source Sans Pro" w:eastAsia="Times New Roman" w:hAnsi="Source Sans Pro" w:cs="Times New Roman"/>
          <w:color w:val="303030"/>
          <w:sz w:val="24"/>
          <w:szCs w:val="24"/>
          <w:lang w:eastAsia="fi-FI"/>
        </w:rPr>
      </w:pPr>
      <w:r w:rsidRPr="00460384">
        <w:rPr>
          <w:rFonts w:ascii="Source Sans Pro" w:eastAsia="Times New Roman" w:hAnsi="Source Sans Pro" w:cs="Times New Roman"/>
          <w:color w:val="303030"/>
          <w:sz w:val="24"/>
          <w:szCs w:val="24"/>
          <w:lang w:eastAsia="fi-FI"/>
        </w:rPr>
        <w:t>Tupakan aiheuttamia kuluja on kartoitettu 19. elokuuta julkaistussa Terveyden ja hyvinvoinnin laitoksen raportissa ”Tupakoinnin yhteiskunnalliset kustannukset ja niiden arviointimenetelmät”.  </w:t>
      </w:r>
    </w:p>
    <w:p w:rsidR="00460384" w:rsidRPr="00460384" w:rsidRDefault="00460384" w:rsidP="00460384">
      <w:pPr>
        <w:shd w:val="clear" w:color="auto" w:fill="FFFFFF"/>
        <w:spacing w:after="240" w:line="360" w:lineRule="atLeast"/>
        <w:rPr>
          <w:rFonts w:ascii="Source Sans Pro" w:eastAsia="Times New Roman" w:hAnsi="Source Sans Pro" w:cs="Times New Roman"/>
          <w:color w:val="303030"/>
          <w:sz w:val="24"/>
          <w:szCs w:val="24"/>
          <w:lang w:eastAsia="fi-FI"/>
        </w:rPr>
      </w:pPr>
      <w:hyperlink r:id="rId4" w:tgtFrame="_blank" w:tooltip="Avautuu uuteen ikkunaan" w:history="1">
        <w:r w:rsidRPr="00460384">
          <w:rPr>
            <w:rFonts w:ascii="Source Sans Pro" w:eastAsia="Times New Roman" w:hAnsi="Source Sans Pro" w:cs="Times New Roman"/>
            <w:color w:val="0060A6"/>
            <w:sz w:val="24"/>
            <w:szCs w:val="24"/>
            <w:lang w:eastAsia="fi-FI"/>
          </w:rPr>
          <w:t xml:space="preserve">Raportti </w:t>
        </w:r>
        <w:proofErr w:type="spellStart"/>
        <w:r w:rsidRPr="00460384">
          <w:rPr>
            <w:rFonts w:ascii="Source Sans Pro" w:eastAsia="Times New Roman" w:hAnsi="Source Sans Pro" w:cs="Times New Roman"/>
            <w:color w:val="0060A6"/>
            <w:sz w:val="24"/>
            <w:szCs w:val="24"/>
            <w:lang w:eastAsia="fi-FI"/>
          </w:rPr>
          <w:t>Julkarissa</w:t>
        </w:r>
        <w:proofErr w:type="spellEnd"/>
        <w:r w:rsidRPr="00460384">
          <w:rPr>
            <w:rFonts w:ascii="Source Sans Pro" w:eastAsia="Times New Roman" w:hAnsi="Source Sans Pro" w:cs="Times New Roman"/>
            <w:color w:val="0060A6"/>
            <w:sz w:val="24"/>
            <w:szCs w:val="24"/>
            <w:lang w:eastAsia="fi-FI"/>
          </w:rPr>
          <w:t> </w:t>
        </w:r>
      </w:hyperlink>
    </w:p>
    <w:p w:rsidR="00460384" w:rsidRPr="00460384" w:rsidRDefault="00460384" w:rsidP="00460384">
      <w:pPr>
        <w:shd w:val="clear" w:color="auto" w:fill="FFFFFF"/>
        <w:spacing w:after="240" w:line="360" w:lineRule="atLeast"/>
        <w:rPr>
          <w:rFonts w:ascii="Source Sans Pro" w:eastAsia="Times New Roman" w:hAnsi="Source Sans Pro" w:cs="Times New Roman"/>
          <w:color w:val="303030"/>
          <w:sz w:val="24"/>
          <w:szCs w:val="24"/>
          <w:lang w:eastAsia="fi-FI"/>
        </w:rPr>
      </w:pPr>
      <w:hyperlink r:id="rId5" w:tgtFrame="_blank" w:history="1">
        <w:r w:rsidRPr="00460384">
          <w:rPr>
            <w:rFonts w:ascii="Source Sans Pro" w:eastAsia="Times New Roman" w:hAnsi="Source Sans Pro" w:cs="Times New Roman"/>
            <w:color w:val="0060A6"/>
            <w:sz w:val="24"/>
            <w:szCs w:val="24"/>
            <w:lang w:eastAsia="fi-FI"/>
          </w:rPr>
          <w:t>Raportti Kirjakaupassa </w:t>
        </w:r>
      </w:hyperlink>
    </w:p>
    <w:p w:rsidR="00460384" w:rsidRPr="00460384" w:rsidRDefault="00460384" w:rsidP="00460384">
      <w:pPr>
        <w:shd w:val="clear" w:color="auto" w:fill="FFFFFF"/>
        <w:spacing w:before="225" w:after="150" w:line="336" w:lineRule="atLeast"/>
        <w:outlineLvl w:val="1"/>
        <w:rPr>
          <w:rFonts w:ascii="Source Sans Pro" w:eastAsia="Times New Roman" w:hAnsi="Source Sans Pro" w:cs="Times New Roman"/>
          <w:color w:val="303030"/>
          <w:sz w:val="39"/>
          <w:szCs w:val="39"/>
          <w:lang w:eastAsia="fi-FI"/>
        </w:rPr>
      </w:pPr>
      <w:r w:rsidRPr="00460384">
        <w:rPr>
          <w:rFonts w:ascii="Source Sans Pro" w:eastAsia="Times New Roman" w:hAnsi="Source Sans Pro" w:cs="Times New Roman"/>
          <w:color w:val="303030"/>
          <w:sz w:val="39"/>
          <w:szCs w:val="39"/>
          <w:lang w:eastAsia="fi-FI"/>
        </w:rPr>
        <w:t>Lisätietoa</w:t>
      </w:r>
    </w:p>
    <w:p w:rsidR="00460384" w:rsidRPr="00460384" w:rsidRDefault="00460384" w:rsidP="00460384">
      <w:pPr>
        <w:shd w:val="clear" w:color="auto" w:fill="FFFFFF"/>
        <w:spacing w:after="240" w:line="360" w:lineRule="atLeast"/>
        <w:rPr>
          <w:rFonts w:ascii="Source Sans Pro" w:eastAsia="Times New Roman" w:hAnsi="Source Sans Pro" w:cs="Times New Roman"/>
          <w:color w:val="303030"/>
          <w:sz w:val="24"/>
          <w:szCs w:val="24"/>
          <w:lang w:eastAsia="fi-FI"/>
        </w:rPr>
      </w:pPr>
      <w:r w:rsidRPr="00460384">
        <w:rPr>
          <w:rFonts w:ascii="Source Sans Pro" w:eastAsia="Times New Roman" w:hAnsi="Source Sans Pro" w:cs="Times New Roman"/>
          <w:b/>
          <w:bCs/>
          <w:color w:val="303030"/>
          <w:sz w:val="24"/>
          <w:szCs w:val="24"/>
          <w:lang w:eastAsia="fi-FI"/>
        </w:rPr>
        <w:t>Miikka Vähänen</w:t>
      </w:r>
      <w:r w:rsidRPr="00460384">
        <w:rPr>
          <w:rFonts w:ascii="Source Sans Pro" w:eastAsia="Times New Roman" w:hAnsi="Source Sans Pro" w:cs="Times New Roman"/>
          <w:color w:val="303030"/>
          <w:sz w:val="24"/>
          <w:szCs w:val="24"/>
          <w:lang w:eastAsia="fi-FI"/>
        </w:rPr>
        <w:br/>
        <w:t>kehittämispäällikkö</w:t>
      </w:r>
      <w:r w:rsidRPr="00460384">
        <w:rPr>
          <w:rFonts w:ascii="Source Sans Pro" w:eastAsia="Times New Roman" w:hAnsi="Source Sans Pro" w:cs="Times New Roman"/>
          <w:color w:val="303030"/>
          <w:sz w:val="24"/>
          <w:szCs w:val="24"/>
          <w:lang w:eastAsia="fi-FI"/>
        </w:rPr>
        <w:br/>
        <w:t>THL</w:t>
      </w:r>
      <w:r w:rsidRPr="00460384">
        <w:rPr>
          <w:rFonts w:ascii="Source Sans Pro" w:eastAsia="Times New Roman" w:hAnsi="Source Sans Pro" w:cs="Times New Roman"/>
          <w:color w:val="303030"/>
          <w:sz w:val="24"/>
          <w:szCs w:val="24"/>
          <w:lang w:eastAsia="fi-FI"/>
        </w:rPr>
        <w:br/>
        <w:t>puh. 029 5246021</w:t>
      </w:r>
      <w:r w:rsidRPr="00460384">
        <w:rPr>
          <w:rFonts w:ascii="Source Sans Pro" w:eastAsia="Times New Roman" w:hAnsi="Source Sans Pro" w:cs="Times New Roman"/>
          <w:color w:val="303030"/>
          <w:sz w:val="24"/>
          <w:szCs w:val="24"/>
          <w:lang w:eastAsia="fi-FI"/>
        </w:rPr>
        <w:br/>
        <w:t>etunimi.sukunimi@thl.fi</w:t>
      </w:r>
    </w:p>
    <w:p w:rsidR="00460384" w:rsidRPr="00460384" w:rsidRDefault="00460384" w:rsidP="00460384">
      <w:pPr>
        <w:shd w:val="clear" w:color="auto" w:fill="FFFFFF"/>
        <w:spacing w:after="240" w:line="360" w:lineRule="atLeast"/>
        <w:rPr>
          <w:rFonts w:ascii="Source Sans Pro" w:eastAsia="Times New Roman" w:hAnsi="Source Sans Pro" w:cs="Times New Roman"/>
          <w:color w:val="303030"/>
          <w:sz w:val="24"/>
          <w:szCs w:val="24"/>
          <w:lang w:eastAsia="fi-FI"/>
        </w:rPr>
      </w:pPr>
      <w:r w:rsidRPr="00460384">
        <w:rPr>
          <w:rFonts w:ascii="Source Sans Pro" w:eastAsia="Times New Roman" w:hAnsi="Source Sans Pro" w:cs="Times New Roman"/>
          <w:color w:val="303030"/>
          <w:sz w:val="24"/>
          <w:szCs w:val="24"/>
          <w:lang w:eastAsia="fi-FI"/>
        </w:rPr>
        <w:t> </w:t>
      </w:r>
    </w:p>
    <w:p w:rsidR="00B605AC" w:rsidRDefault="00DB3AA8"/>
    <w:sectPr w:rsidR="00B605AC">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ource Sans Pro">
    <w:panose1 w:val="020B0503030403020204"/>
    <w:charset w:val="00"/>
    <w:family w:val="swiss"/>
    <w:pitch w:val="variable"/>
    <w:sig w:usb0="20000007" w:usb1="00000001" w:usb2="00000000" w:usb3="00000000" w:csb0="00000193"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0384"/>
    <w:rsid w:val="00291018"/>
    <w:rsid w:val="00460384"/>
    <w:rsid w:val="007C3DDA"/>
    <w:rsid w:val="00DB3AA8"/>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7A7B1F-3C27-4471-9723-2F4C925DA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paragraph" w:styleId="Otsikko1">
    <w:name w:val="heading 1"/>
    <w:basedOn w:val="Normaali"/>
    <w:link w:val="Otsikko1Char"/>
    <w:uiPriority w:val="9"/>
    <w:qFormat/>
    <w:rsid w:val="0046038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i-FI"/>
    </w:rPr>
  </w:style>
  <w:style w:type="paragraph" w:styleId="Otsikko2">
    <w:name w:val="heading 2"/>
    <w:basedOn w:val="Normaali"/>
    <w:link w:val="Otsikko2Char"/>
    <w:uiPriority w:val="9"/>
    <w:qFormat/>
    <w:rsid w:val="00460384"/>
    <w:pPr>
      <w:spacing w:before="100" w:beforeAutospacing="1" w:after="100" w:afterAutospacing="1" w:line="240" w:lineRule="auto"/>
      <w:outlineLvl w:val="1"/>
    </w:pPr>
    <w:rPr>
      <w:rFonts w:ascii="Times New Roman" w:eastAsia="Times New Roman" w:hAnsi="Times New Roman" w:cs="Times New Roman"/>
      <w:b/>
      <w:bCs/>
      <w:sz w:val="36"/>
      <w:szCs w:val="36"/>
      <w:lang w:eastAsia="fi-FI"/>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460384"/>
    <w:rPr>
      <w:rFonts w:ascii="Times New Roman" w:eastAsia="Times New Roman" w:hAnsi="Times New Roman" w:cs="Times New Roman"/>
      <w:b/>
      <w:bCs/>
      <w:kern w:val="36"/>
      <w:sz w:val="48"/>
      <w:szCs w:val="48"/>
      <w:lang w:eastAsia="fi-FI"/>
    </w:rPr>
  </w:style>
  <w:style w:type="character" w:customStyle="1" w:styleId="Otsikko2Char">
    <w:name w:val="Otsikko 2 Char"/>
    <w:basedOn w:val="Kappaleenoletusfontti"/>
    <w:link w:val="Otsikko2"/>
    <w:uiPriority w:val="9"/>
    <w:rsid w:val="00460384"/>
    <w:rPr>
      <w:rFonts w:ascii="Times New Roman" w:eastAsia="Times New Roman" w:hAnsi="Times New Roman" w:cs="Times New Roman"/>
      <w:b/>
      <w:bCs/>
      <w:sz w:val="36"/>
      <w:szCs w:val="36"/>
      <w:lang w:eastAsia="fi-FI"/>
    </w:rPr>
  </w:style>
  <w:style w:type="paragraph" w:styleId="NormaaliWWW">
    <w:name w:val="Normal (Web)"/>
    <w:basedOn w:val="Normaali"/>
    <w:uiPriority w:val="99"/>
    <w:semiHidden/>
    <w:unhideWhenUsed/>
    <w:rsid w:val="00460384"/>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styleId="Voimakas">
    <w:name w:val="Strong"/>
    <w:basedOn w:val="Kappaleenoletusfontti"/>
    <w:uiPriority w:val="22"/>
    <w:qFormat/>
    <w:rsid w:val="00460384"/>
    <w:rPr>
      <w:b/>
      <w:bCs/>
    </w:rPr>
  </w:style>
  <w:style w:type="character" w:styleId="Hyperlinkki">
    <w:name w:val="Hyperlink"/>
    <w:basedOn w:val="Kappaleenoletusfontti"/>
    <w:uiPriority w:val="99"/>
    <w:semiHidden/>
    <w:unhideWhenUsed/>
    <w:rsid w:val="0046038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6129825">
      <w:bodyDiv w:val="1"/>
      <w:marLeft w:val="0"/>
      <w:marRight w:val="0"/>
      <w:marTop w:val="0"/>
      <w:marBottom w:val="0"/>
      <w:divBdr>
        <w:top w:val="none" w:sz="0" w:space="0" w:color="auto"/>
        <w:left w:val="none" w:sz="0" w:space="0" w:color="auto"/>
        <w:bottom w:val="none" w:sz="0" w:space="0" w:color="auto"/>
        <w:right w:val="none" w:sz="0" w:space="0" w:color="auto"/>
      </w:divBdr>
      <w:divsChild>
        <w:div w:id="1138571422">
          <w:marLeft w:val="0"/>
          <w:marRight w:val="0"/>
          <w:marTop w:val="0"/>
          <w:marBottom w:val="300"/>
          <w:divBdr>
            <w:top w:val="none" w:sz="0" w:space="0" w:color="auto"/>
            <w:left w:val="none" w:sz="0" w:space="0" w:color="auto"/>
            <w:bottom w:val="none" w:sz="0" w:space="0" w:color="auto"/>
            <w:right w:val="none" w:sz="0" w:space="0" w:color="auto"/>
          </w:divBdr>
        </w:div>
        <w:div w:id="2026710883">
          <w:marLeft w:val="0"/>
          <w:marRight w:val="0"/>
          <w:marTop w:val="0"/>
          <w:marBottom w:val="0"/>
          <w:divBdr>
            <w:top w:val="none" w:sz="0" w:space="0" w:color="auto"/>
            <w:left w:val="none" w:sz="0" w:space="0" w:color="auto"/>
            <w:bottom w:val="none" w:sz="0" w:space="0" w:color="auto"/>
            <w:right w:val="none" w:sz="0" w:space="0" w:color="auto"/>
          </w:divBdr>
          <w:divsChild>
            <w:div w:id="96600921">
              <w:marLeft w:val="0"/>
              <w:marRight w:val="0"/>
              <w:marTop w:val="900"/>
              <w:marBottom w:val="0"/>
              <w:divBdr>
                <w:top w:val="none" w:sz="0" w:space="0" w:color="auto"/>
                <w:left w:val="none" w:sz="0" w:space="0" w:color="auto"/>
                <w:bottom w:val="none" w:sz="0" w:space="0" w:color="auto"/>
                <w:right w:val="none" w:sz="0" w:space="0" w:color="auto"/>
              </w:divBdr>
              <w:divsChild>
                <w:div w:id="690372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kauppakv.fi/sis/THL/tuote/9789523025028" TargetMode="External"/><Relationship Id="rId4" Type="http://schemas.openxmlformats.org/officeDocument/2006/relationships/hyperlink" Target="http://urn.fi/URN:ISBN:978-952-302-503-5"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320</Words>
  <Characters>2595</Characters>
  <Application>Microsoft Office Word</Application>
  <DocSecurity>0</DocSecurity>
  <Lines>21</Lines>
  <Paragraphs>5</Paragraphs>
  <ScaleCrop>false</ScaleCrop>
  <HeadingPairs>
    <vt:vector size="2" baseType="variant">
      <vt:variant>
        <vt:lpstr>Otsikko</vt:lpstr>
      </vt:variant>
      <vt:variant>
        <vt:i4>1</vt:i4>
      </vt:variant>
    </vt:vector>
  </HeadingPairs>
  <TitlesOfParts>
    <vt:vector size="1" baseType="lpstr">
      <vt:lpstr/>
    </vt:vector>
  </TitlesOfParts>
  <Company>Kouvola</Company>
  <LinksUpToDate>false</LinksUpToDate>
  <CharactersWithSpaces>2910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Mäkelä Toni</dc:creator>
  <cp:keywords/>
  <dc:description/>
  <cp:lastModifiedBy>Mäkelä Toni</cp:lastModifiedBy>
  <cp:revision>2</cp:revision>
  <dcterms:created xsi:type="dcterms:W3CDTF">2018-09-04T11:17:00Z</dcterms:created>
  <dcterms:modified xsi:type="dcterms:W3CDTF">2018-09-04T11:23:00Z</dcterms:modified>
</cp:coreProperties>
</file>