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5C9C5320" w:rsidR="002C6F66" w:rsidRPr="006C4C49" w:rsidRDefault="00F218A6">
      <w:pPr>
        <w:rPr>
          <w:rFonts w:ascii="Cambria" w:hAnsi="Cambria"/>
          <w:b/>
          <w:bCs/>
          <w:color w:val="EF706D"/>
          <w:sz w:val="40"/>
          <w:szCs w:val="40"/>
        </w:rPr>
      </w:pPr>
      <w:r w:rsidRPr="006C4C49">
        <w:rPr>
          <w:rFonts w:ascii="Cambria" w:hAnsi="Cambria"/>
          <w:b/>
          <w:bCs/>
          <w:color w:val="EF706D"/>
          <w:sz w:val="40"/>
          <w:szCs w:val="40"/>
        </w:rPr>
        <w:t>4</w:t>
      </w:r>
      <w:r w:rsidR="00A207D5" w:rsidRPr="006C4C49">
        <w:rPr>
          <w:rFonts w:ascii="Cambria" w:hAnsi="Cambria"/>
          <w:b/>
          <w:bCs/>
          <w:color w:val="EF706D"/>
          <w:sz w:val="40"/>
          <w:szCs w:val="40"/>
        </w:rPr>
        <w:t xml:space="preserve">. </w:t>
      </w:r>
      <w:r w:rsidRPr="006C4C49">
        <w:rPr>
          <w:rFonts w:ascii="Cambria" w:hAnsi="Cambria"/>
          <w:b/>
          <w:bCs/>
          <w:color w:val="EF706D"/>
          <w:sz w:val="40"/>
          <w:szCs w:val="40"/>
        </w:rPr>
        <w:t>Tiedon luotettavuus ja arviointi</w:t>
      </w:r>
    </w:p>
    <w:p w14:paraId="45AFF8A4" w14:textId="0AE2900F" w:rsidR="00FE2711" w:rsidRDefault="00FE2711">
      <w:pPr>
        <w:rPr>
          <w:rFonts w:ascii="Cambria" w:hAnsi="Cambria"/>
          <w:b/>
          <w:bCs/>
          <w:color w:val="EF706D"/>
          <w:sz w:val="32"/>
          <w:szCs w:val="32"/>
        </w:rPr>
      </w:pPr>
    </w:p>
    <w:p w14:paraId="30BD592E" w14:textId="4AB70AA9" w:rsidR="00FE2711" w:rsidRPr="006C4C49" w:rsidRDefault="00FE2711">
      <w:pPr>
        <w:rPr>
          <w:rFonts w:ascii="Cambria" w:hAnsi="Cambria"/>
          <w:b/>
          <w:bCs/>
          <w:sz w:val="36"/>
          <w:szCs w:val="36"/>
        </w:rPr>
      </w:pPr>
      <w:r w:rsidRPr="006C4C49">
        <w:rPr>
          <w:rFonts w:ascii="Cambria" w:hAnsi="Cambria"/>
          <w:b/>
          <w:bCs/>
          <w:sz w:val="36"/>
          <w:szCs w:val="36"/>
        </w:rPr>
        <w:t>Tehtävien vastaukset</w:t>
      </w:r>
    </w:p>
    <w:p w14:paraId="6B20C232" w14:textId="62C6D8F8" w:rsidR="00FE2711" w:rsidRPr="006C4C49" w:rsidRDefault="00FE2711">
      <w:pPr>
        <w:rPr>
          <w:rFonts w:ascii="Cambria" w:hAnsi="Cambria"/>
          <w:b/>
          <w:bCs/>
          <w:sz w:val="36"/>
          <w:szCs w:val="36"/>
        </w:rPr>
      </w:pPr>
    </w:p>
    <w:p w14:paraId="3D91F5A9" w14:textId="77777777" w:rsidR="00F218A6" w:rsidRDefault="00F218A6" w:rsidP="00F218A6">
      <w:pPr>
        <w:rPr>
          <w:rFonts w:ascii="Times New Roman" w:hAnsi="Times New Roman" w:cs="Times New Roman"/>
        </w:rPr>
      </w:pPr>
    </w:p>
    <w:p w14:paraId="60685A0A" w14:textId="77777777" w:rsidR="002D66E6"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t>1. Miten seuraavat kognitiiviset vinoumat vääristävät ajattelua?</w:t>
      </w:r>
    </w:p>
    <w:p w14:paraId="1E53197C" w14:textId="77777777" w:rsidR="002D66E6" w:rsidRPr="00396ABC" w:rsidRDefault="002D66E6" w:rsidP="002D66E6">
      <w:pPr>
        <w:spacing w:line="276" w:lineRule="auto"/>
        <w:rPr>
          <w:rFonts w:ascii="Cambria" w:hAnsi="Cambria" w:cs="Times New Roman"/>
          <w:b/>
          <w:bCs/>
          <w:sz w:val="22"/>
          <w:szCs w:val="22"/>
        </w:rPr>
      </w:pPr>
    </w:p>
    <w:p w14:paraId="75057A71" w14:textId="77777777" w:rsidR="002D66E6"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a. muistin rajallisuus</w:t>
      </w:r>
    </w:p>
    <w:p w14:paraId="6E373D6E" w14:textId="77777777" w:rsidR="002D66E6" w:rsidRPr="00396ABC" w:rsidRDefault="002D66E6" w:rsidP="002D66E6">
      <w:pPr>
        <w:spacing w:line="276" w:lineRule="auto"/>
        <w:rPr>
          <w:rFonts w:ascii="Cambria" w:hAnsi="Cambria" w:cs="Times New Roman"/>
          <w:sz w:val="22"/>
          <w:szCs w:val="22"/>
        </w:rPr>
      </w:pPr>
    </w:p>
    <w:p w14:paraId="583C92E1"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Muisti on huono tiedonlähde, koska ihmisen työmuisti ja tiedonkäsittely ovat hyvin rajallisia. Ihminen pystyy muistamaan ja käsittelemään noin seitsemän asiaa kerralla. Ihminen voi unohtaa, onko hän nähnyt, lukenut vai kuullut jostakin asiasta, onko hän päätellyt asian itse vai saanut tiedon jostain muualta. Tämä tekee tiedon arvioinnista vaikeaa, mikä voi vääristää ajattelua.</w:t>
      </w:r>
    </w:p>
    <w:p w14:paraId="26DBAD90" w14:textId="77777777" w:rsidR="002D66E6" w:rsidRPr="00B17D76" w:rsidRDefault="002D66E6" w:rsidP="002D66E6">
      <w:pPr>
        <w:spacing w:line="276" w:lineRule="auto"/>
        <w:rPr>
          <w:rFonts w:ascii="Cambria" w:hAnsi="Cambria" w:cs="Times New Roman"/>
          <w:color w:val="2F5496"/>
          <w:sz w:val="22"/>
          <w:szCs w:val="22"/>
        </w:rPr>
      </w:pPr>
    </w:p>
    <w:p w14:paraId="549E2F66" w14:textId="77777777" w:rsidR="002D66E6" w:rsidRPr="00396ABC"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b. vahvistusharha</w:t>
      </w:r>
    </w:p>
    <w:p w14:paraId="538D3DD6" w14:textId="77777777" w:rsidR="002D66E6" w:rsidRPr="00396ABC" w:rsidRDefault="002D66E6" w:rsidP="002D66E6">
      <w:pPr>
        <w:spacing w:line="276" w:lineRule="auto"/>
        <w:rPr>
          <w:rFonts w:ascii="Cambria" w:hAnsi="Cambria" w:cs="Times New Roman"/>
          <w:b/>
          <w:bCs/>
          <w:sz w:val="22"/>
          <w:szCs w:val="22"/>
        </w:rPr>
      </w:pPr>
    </w:p>
    <w:p w14:paraId="6C8A1627"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Vahvistusharhaksi kutsutaan ilmiötä, jossa ihminen hakee omia käsityksiään tukevaa tietoa. Jos löydetty tieto on ristiriidassa omien käsitysten ja arvojen kanssa, ihminen pitää sitä todennäköisemmin epäluotettavana kuin muuttaa käsitystään, koska niin ihmismieli pyrkii vähentämään ristiriidasta johtuvaa epämukavuutta. Vahvistusharhan vuoksi ihminen kerää ja muistaa paremmin sellaisia asioita, jotka vahvistavat olemassa olevia käsityksiä, jolloin tulkinnasta tulee virheellinen.</w:t>
      </w:r>
    </w:p>
    <w:p w14:paraId="0880C717" w14:textId="77777777" w:rsidR="002D66E6" w:rsidRPr="00396ABC" w:rsidRDefault="002D66E6" w:rsidP="002D66E6">
      <w:pPr>
        <w:spacing w:line="276" w:lineRule="auto"/>
        <w:rPr>
          <w:rFonts w:ascii="Cambria" w:hAnsi="Cambria" w:cs="Times New Roman"/>
          <w:sz w:val="22"/>
          <w:szCs w:val="22"/>
        </w:rPr>
      </w:pPr>
    </w:p>
    <w:p w14:paraId="4F6266A4" w14:textId="77777777" w:rsidR="002D66E6" w:rsidRPr="00396ABC"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c. yksimielisyysharha</w:t>
      </w:r>
    </w:p>
    <w:p w14:paraId="0D087EA4" w14:textId="77777777" w:rsidR="002D66E6" w:rsidRPr="00396ABC" w:rsidRDefault="002D66E6" w:rsidP="002D66E6">
      <w:pPr>
        <w:spacing w:line="276" w:lineRule="auto"/>
        <w:rPr>
          <w:rFonts w:ascii="Cambria" w:hAnsi="Cambria" w:cs="Times New Roman"/>
          <w:b/>
          <w:bCs/>
          <w:sz w:val="22"/>
          <w:szCs w:val="22"/>
        </w:rPr>
      </w:pPr>
    </w:p>
    <w:p w14:paraId="19EF23FC"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Ihmiset ovat taipuvaisia ajattelemaan itsekeskeisesti. Yksimielisyysharha tarkoittaa, että meillä on taipumus ajatella omien näkemystemme, uskomustemme, mielipiteidemme, arvojemme ja tapojemme olevan yleisiä muidenkin ihmisten joukossa, vaikka ne eivät välttämättä ole. Se vääristää ajattelua.</w:t>
      </w:r>
    </w:p>
    <w:p w14:paraId="06443C30" w14:textId="77777777" w:rsidR="002D66E6" w:rsidRPr="00396ABC" w:rsidRDefault="002D66E6" w:rsidP="002D66E6">
      <w:pPr>
        <w:spacing w:line="276" w:lineRule="auto"/>
        <w:rPr>
          <w:rFonts w:ascii="Cambria" w:hAnsi="Cambria" w:cs="Times New Roman"/>
          <w:sz w:val="22"/>
          <w:szCs w:val="22"/>
        </w:rPr>
      </w:pPr>
    </w:p>
    <w:p w14:paraId="02C5B56A" w14:textId="77777777" w:rsidR="002D66E6" w:rsidRPr="00396ABC"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d. Dunning–Kruger-ilmiö</w:t>
      </w:r>
    </w:p>
    <w:p w14:paraId="75CD4AEB" w14:textId="77777777" w:rsidR="002D66E6" w:rsidRPr="00396ABC" w:rsidRDefault="002D66E6" w:rsidP="002D66E6">
      <w:pPr>
        <w:spacing w:line="276" w:lineRule="auto"/>
        <w:rPr>
          <w:rFonts w:ascii="Cambria" w:hAnsi="Cambria" w:cs="Times New Roman"/>
          <w:b/>
          <w:bCs/>
          <w:sz w:val="22"/>
          <w:szCs w:val="22"/>
        </w:rPr>
      </w:pPr>
    </w:p>
    <w:p w14:paraId="5FC0080A"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Dunning–Kruger-ilmiö eli ylivertaisuusvinouma tarkoittaa ihmisten taipumusta yliarvioida omia kykyjään. Vähän jostain asiasta tietävät ihmiset luottavat itseensä paljon ja pitävät asiaa yksinkertaisena, joten heidän mielipiteensä asiasta ovat vahvoja, ja ongelman ratkaisut tuntuvat heistä helpoilta. Asiaan enemmän perehtymällä huomaa sen monimutkaisuuden ja ymmärtää tarvitsevansa siitä lisää tietoa. Ilmiö vääristää ajattelua vääristämällä oman tietämyksen määrän arviointia ja oikean tiedon tunnistamista.</w:t>
      </w:r>
    </w:p>
    <w:p w14:paraId="65016356" w14:textId="77777777" w:rsidR="002D66E6" w:rsidRPr="00396ABC" w:rsidRDefault="002D66E6" w:rsidP="002D66E6">
      <w:pPr>
        <w:spacing w:after="240" w:line="276" w:lineRule="auto"/>
        <w:rPr>
          <w:rFonts w:ascii="Cambria" w:hAnsi="Cambria" w:cs="Times New Roman"/>
          <w:sz w:val="22"/>
          <w:szCs w:val="22"/>
        </w:rPr>
      </w:pPr>
    </w:p>
    <w:p w14:paraId="014CD62D" w14:textId="77777777" w:rsidR="002D66E6" w:rsidRDefault="002D66E6" w:rsidP="002D66E6">
      <w:pPr>
        <w:rPr>
          <w:rFonts w:ascii="Cambria" w:hAnsi="Cambria" w:cs="Times New Roman"/>
          <w:b/>
          <w:bCs/>
          <w:sz w:val="22"/>
          <w:szCs w:val="22"/>
        </w:rPr>
      </w:pPr>
      <w:r>
        <w:rPr>
          <w:rFonts w:ascii="Cambria" w:hAnsi="Cambria" w:cs="Times New Roman"/>
          <w:b/>
          <w:bCs/>
          <w:sz w:val="22"/>
          <w:szCs w:val="22"/>
        </w:rPr>
        <w:br w:type="page"/>
      </w:r>
    </w:p>
    <w:p w14:paraId="7BC14074" w14:textId="77777777" w:rsidR="002D66E6"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lastRenderedPageBreak/>
        <w:t xml:space="preserve">2. Selitä erot. </w:t>
      </w:r>
    </w:p>
    <w:p w14:paraId="3FD2A69E" w14:textId="77777777" w:rsidR="002D66E6" w:rsidRPr="00396ABC" w:rsidRDefault="002D66E6" w:rsidP="002D66E6">
      <w:pPr>
        <w:spacing w:line="276" w:lineRule="auto"/>
        <w:rPr>
          <w:rFonts w:ascii="Cambria" w:hAnsi="Cambria" w:cs="Times New Roman"/>
          <w:b/>
          <w:bCs/>
          <w:sz w:val="22"/>
          <w:szCs w:val="22"/>
        </w:rPr>
      </w:pPr>
    </w:p>
    <w:p w14:paraId="0F4EBFD0" w14:textId="77777777" w:rsidR="002D66E6"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a. Mikä ero on satunnaisvirheellä ja systemaattisella virheellä?</w:t>
      </w:r>
    </w:p>
    <w:p w14:paraId="5B213BD1" w14:textId="77777777" w:rsidR="002D66E6" w:rsidRPr="00396ABC" w:rsidRDefault="002D66E6" w:rsidP="002D66E6">
      <w:pPr>
        <w:spacing w:line="276" w:lineRule="auto"/>
        <w:rPr>
          <w:rFonts w:ascii="Cambria" w:hAnsi="Cambria" w:cs="Times New Roman"/>
          <w:sz w:val="22"/>
          <w:szCs w:val="22"/>
        </w:rPr>
      </w:pPr>
    </w:p>
    <w:p w14:paraId="2500B60A" w14:textId="77777777" w:rsidR="002D66E6" w:rsidRPr="00B17D76" w:rsidRDefault="002D66E6" w:rsidP="002D66E6">
      <w:pPr>
        <w:spacing w:line="276" w:lineRule="auto"/>
        <w:rPr>
          <w:rFonts w:ascii="Cambria" w:hAnsi="Cambria" w:cs="Times New Roman"/>
          <w:color w:val="2F5496"/>
          <w:sz w:val="22"/>
          <w:szCs w:val="22"/>
        </w:rPr>
      </w:pPr>
      <w:bookmarkStart w:id="0" w:name="_Hlk75098529"/>
      <w:r w:rsidRPr="00B17D76">
        <w:rPr>
          <w:rFonts w:ascii="Cambria" w:hAnsi="Cambria" w:cs="Times New Roman"/>
          <w:color w:val="2F5496"/>
          <w:sz w:val="22"/>
          <w:szCs w:val="22"/>
        </w:rPr>
        <w:t>Systemaattinen virhe eli harha voi aiheuttaa tuloksiin vääristymää, jonka seurauksena tutkimus voi tuottaa totuudesta poikkeavia tuloksia ja johtopäätöksiä. Harha voi syntyä missä tutkimuksen vaiheessa tahansa. Tutkittavien valinnassa tai valikoitumisessa aiheut</w:t>
      </w:r>
      <w:r>
        <w:rPr>
          <w:rFonts w:ascii="Cambria" w:hAnsi="Cambria" w:cs="Times New Roman"/>
          <w:color w:val="2F5496"/>
          <w:sz w:val="22"/>
          <w:szCs w:val="22"/>
        </w:rPr>
        <w:t>unut</w:t>
      </w:r>
      <w:r w:rsidRPr="00B17D76">
        <w:rPr>
          <w:rFonts w:ascii="Cambria" w:hAnsi="Cambria" w:cs="Times New Roman"/>
          <w:color w:val="2F5496"/>
          <w:sz w:val="22"/>
          <w:szCs w:val="22"/>
        </w:rPr>
        <w:t xml:space="preserve"> systemaattinen virhe tarkoittaa sitä, että tutkimuksessa tutkitaan tutkimuskysymyksen näkökulmasta vääränlaista joukkoa. Harha voi muodostua myös aineistonkeruun aikana, jolloin harhan aiheuttaja on usein tiedonkeruuväline eli mittari. Ainoa keino välttää systemaattinen virhe on huomioida ja ehkäistä ne jo tutkimusta suunniteltaessa. Esimerkiksi kyselylomake voidaan esitestata eli pilotoida ennen varsinaista kyselyn toteuttamista.</w:t>
      </w:r>
    </w:p>
    <w:p w14:paraId="275473CD" w14:textId="77777777" w:rsidR="002D66E6" w:rsidRPr="00B17D76" w:rsidRDefault="002D66E6" w:rsidP="002D66E6">
      <w:pPr>
        <w:spacing w:line="276" w:lineRule="auto"/>
        <w:rPr>
          <w:rFonts w:ascii="Cambria" w:hAnsi="Cambria" w:cs="Times New Roman"/>
          <w:color w:val="2F5496"/>
          <w:sz w:val="22"/>
          <w:szCs w:val="22"/>
        </w:rPr>
      </w:pPr>
    </w:p>
    <w:p w14:paraId="6DEB54F7"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Satunnaisvirheellä puolestaan tarkoitetaan sattumaa, joka kuuluu luonnollisena osana jokaiseen tutkimukseen. Sattumaa pyritään minimoimaan, mutta se ei ole kuitenkaan täysin ehkäistävissä. Satunnaisvirheen vaikutus on pienin silloin kun otoskoko on suuri, koska suuressa joukossa satunnaiset virheet, esimerkiksi se, että yksittäiset kyselylomakkeen vastaajat eivät olekaan vastanneet kysymyksiin totuudenmukaisesti, eivät merkittävästi vaikuta lopputulokseen. Silloin kun otoskoko on pieni, pienemmätkin satunnaisvirheet vaikuttavat lopputulokseen. Nämä otoskokoon liittyvät seikat tulee huomioida tuloksia analysoitaessa.</w:t>
      </w:r>
    </w:p>
    <w:p w14:paraId="78276B3B" w14:textId="77777777" w:rsidR="002D66E6" w:rsidRPr="00B17D76" w:rsidRDefault="002D66E6" w:rsidP="002D66E6">
      <w:pPr>
        <w:spacing w:line="276" w:lineRule="auto"/>
        <w:rPr>
          <w:rFonts w:ascii="Cambria" w:hAnsi="Cambria" w:cs="Times New Roman"/>
          <w:color w:val="2F5496"/>
          <w:sz w:val="22"/>
          <w:szCs w:val="22"/>
        </w:rPr>
      </w:pPr>
    </w:p>
    <w:p w14:paraId="1B49BF08"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Systemaattinen virhe voi siis aiheutua tutkimuksen toteuttamisessa tehtyjen valintojen seurauksena ja on siten ehkäistävissä, kun taas satunnaisvirhe johtuu sattumasta eikä sitä voi ehkäistä, mutta sitä voi minimoida suurella otoskoolla.</w:t>
      </w:r>
    </w:p>
    <w:bookmarkEnd w:id="0"/>
    <w:p w14:paraId="77324E79" w14:textId="77777777" w:rsidR="002D66E6" w:rsidRPr="00396ABC" w:rsidRDefault="002D66E6" w:rsidP="002D66E6">
      <w:pPr>
        <w:spacing w:line="276" w:lineRule="auto"/>
        <w:rPr>
          <w:rFonts w:ascii="Cambria" w:hAnsi="Cambria" w:cs="Times New Roman"/>
          <w:sz w:val="22"/>
          <w:szCs w:val="22"/>
        </w:rPr>
      </w:pPr>
    </w:p>
    <w:p w14:paraId="5FF97D7A" w14:textId="77777777" w:rsidR="002D66E6" w:rsidRDefault="002D66E6" w:rsidP="002D66E6">
      <w:pPr>
        <w:spacing w:line="276" w:lineRule="auto"/>
        <w:rPr>
          <w:rFonts w:ascii="Cambria" w:hAnsi="Cambria" w:cs="Times New Roman"/>
          <w:sz w:val="22"/>
          <w:szCs w:val="22"/>
        </w:rPr>
      </w:pPr>
      <w:r w:rsidRPr="00396ABC">
        <w:rPr>
          <w:rFonts w:ascii="Cambria" w:hAnsi="Cambria" w:cs="Times New Roman"/>
          <w:sz w:val="22"/>
          <w:szCs w:val="22"/>
        </w:rPr>
        <w:t>b. Mikä ero on validiteetilla ja reliabiliteetilla?</w:t>
      </w:r>
    </w:p>
    <w:p w14:paraId="014FA58A" w14:textId="77777777" w:rsidR="002D66E6" w:rsidRPr="00396ABC" w:rsidRDefault="002D66E6" w:rsidP="002D66E6">
      <w:pPr>
        <w:spacing w:line="276" w:lineRule="auto"/>
        <w:rPr>
          <w:rFonts w:ascii="Cambria" w:hAnsi="Cambria" w:cs="Times New Roman"/>
          <w:sz w:val="22"/>
          <w:szCs w:val="22"/>
        </w:rPr>
      </w:pPr>
    </w:p>
    <w:p w14:paraId="678E480B"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Validiteetti eli pätevyys kuvaa sitä, oikeuttavatko tutkimuksen aineisto, tutkimusmenetelmät ja saadut tulokset ne väitteet, joita johtopäätöksenä on tehty. Tutkimuksessa käytetty mittari ei esimerkiksi ole pätevä silloin, jos tutkittava ymmärtää kysymyksen eri tavalla kuin tutkija. Pätevyys liittyy myös tulosten tulkintaan eli siihen, mitä tuloksista voidaan oikeasti päätellä.</w:t>
      </w:r>
    </w:p>
    <w:p w14:paraId="586EAE94" w14:textId="77777777" w:rsidR="002D66E6" w:rsidRPr="00B17D76" w:rsidRDefault="002D66E6" w:rsidP="002D66E6">
      <w:pPr>
        <w:spacing w:line="276" w:lineRule="auto"/>
        <w:rPr>
          <w:rFonts w:ascii="Cambria" w:hAnsi="Cambria" w:cs="Times New Roman"/>
          <w:color w:val="2F5496"/>
          <w:sz w:val="22"/>
          <w:szCs w:val="22"/>
        </w:rPr>
      </w:pPr>
    </w:p>
    <w:p w14:paraId="292C4E3E"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Reliabiliteetti eli luotettavuus taas tarkoittaa sitä, miten luotettavasti ja toistettavasti tehty mittaus tai tutkimusmenetelmä mittaa tutkimuksen kohteena olevaa ilmiötä, eli mittarin kykyä antaa ei-sattumanvaraisia tuloksia. Luotettava mittari siis tuottaa eri tutkimuskerroilla tai eri tutkijoiden toteuttamana lähes samanlaisia tuloksia. </w:t>
      </w:r>
    </w:p>
    <w:p w14:paraId="23C25846" w14:textId="77777777" w:rsidR="002D66E6" w:rsidRPr="00B17D76" w:rsidRDefault="002D66E6" w:rsidP="002D66E6">
      <w:pPr>
        <w:spacing w:line="276" w:lineRule="auto"/>
        <w:rPr>
          <w:rFonts w:ascii="Cambria" w:hAnsi="Cambria" w:cs="Times New Roman"/>
          <w:color w:val="2F5496"/>
          <w:sz w:val="22"/>
          <w:szCs w:val="22"/>
        </w:rPr>
      </w:pPr>
    </w:p>
    <w:p w14:paraId="71C12E4C"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Validiteetti liittyy siis tutkimuksen ja tulosten pätevyyteen, kun taas reliabiliteetti liittyy mittarin luotettavuuteen.</w:t>
      </w:r>
    </w:p>
    <w:p w14:paraId="1B1A14A5" w14:textId="77777777" w:rsidR="002D66E6" w:rsidRPr="00396ABC" w:rsidRDefault="002D66E6" w:rsidP="002D66E6">
      <w:pPr>
        <w:spacing w:after="240" w:line="276" w:lineRule="auto"/>
        <w:rPr>
          <w:rFonts w:ascii="Cambria" w:hAnsi="Cambria" w:cs="Times New Roman"/>
          <w:sz w:val="22"/>
          <w:szCs w:val="22"/>
        </w:rPr>
      </w:pPr>
    </w:p>
    <w:p w14:paraId="5296BB4F" w14:textId="77777777" w:rsidR="002D66E6" w:rsidRDefault="002D66E6" w:rsidP="002D66E6">
      <w:pPr>
        <w:rPr>
          <w:rFonts w:ascii="Cambria" w:hAnsi="Cambria" w:cs="Times New Roman"/>
          <w:b/>
          <w:bCs/>
          <w:sz w:val="22"/>
          <w:szCs w:val="22"/>
        </w:rPr>
      </w:pPr>
      <w:bookmarkStart w:id="1" w:name="_Hlk75086923"/>
      <w:r>
        <w:rPr>
          <w:rFonts w:ascii="Cambria" w:hAnsi="Cambria" w:cs="Times New Roman"/>
          <w:b/>
          <w:bCs/>
          <w:sz w:val="22"/>
          <w:szCs w:val="22"/>
        </w:rPr>
        <w:br w:type="page"/>
      </w:r>
    </w:p>
    <w:p w14:paraId="7B9C9678" w14:textId="77777777" w:rsidR="002D66E6" w:rsidRPr="00396ABC"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lastRenderedPageBreak/>
        <w:t>3. Pohdi aineistonkeruumenetelmien etuja ja haittoja.</w:t>
      </w:r>
    </w:p>
    <w:p w14:paraId="41457274" w14:textId="77777777" w:rsidR="002D66E6" w:rsidRDefault="002D66E6" w:rsidP="002D66E6">
      <w:pPr>
        <w:spacing w:line="276" w:lineRule="auto"/>
        <w:rPr>
          <w:rFonts w:ascii="Cambria" w:hAnsi="Cambria" w:cs="Times New Roman"/>
          <w:sz w:val="22"/>
          <w:szCs w:val="22"/>
        </w:rPr>
      </w:pPr>
      <w:r w:rsidRPr="00667F54">
        <w:rPr>
          <w:rFonts w:ascii="Cambria" w:hAnsi="Cambria" w:cs="Times New Roman"/>
          <w:sz w:val="22"/>
          <w:szCs w:val="22"/>
        </w:rPr>
        <w:t>Teet tutkimusta 3–5-vuotiaista havainnoimalla päiväkodin toimintaa ja haastattelemalla työntekijöitä. Mitä etuja ja haittoja kyseisiin aineistonkeruumenetelmiin liittyy tutkimuksen luotettavuuden näkökulmasta?</w:t>
      </w:r>
    </w:p>
    <w:p w14:paraId="2044A588" w14:textId="77777777" w:rsidR="002D66E6" w:rsidRPr="00667F54" w:rsidRDefault="002D66E6" w:rsidP="002D66E6">
      <w:pPr>
        <w:spacing w:line="276" w:lineRule="auto"/>
        <w:rPr>
          <w:rFonts w:ascii="Cambria" w:hAnsi="Cambria" w:cs="Times New Roman"/>
          <w:sz w:val="22"/>
          <w:szCs w:val="22"/>
        </w:rPr>
      </w:pPr>
    </w:p>
    <w:p w14:paraId="048F20A3"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Monesti luotettavin tapa tutkia pienten lasten kokemuksia on havainnointi. Ollakseen luotettavaa, havainnoinnissa täytyy ottaa huomioon monta asiaa. On tiedostettava, että tutkijan läsnäolo voi vaikuttaa arkipäiväiseen toimintaan, kuten henkilökunnan tai lasten käytökseen ja näin ollen myös saataviin tuloksiin. Tutkijan pitkäaikainen läsnäolo mahdollistaa hänen läsnäolonsa vaikutuksen vähenemisen. Tutkijan osallistumisen määrä ja intensiivisyys voi myös vaikuttaa hänen kokemukseensa ja siten myös tuloksiin. Tutkija saa eri kokemuksen osallistuessaan ryhmän toimintaan kuin seuratessaan tilannetta ulkopuolisena tai täysin ulkopuolelta esimerkiksi videon kautta. Osallistuva havainnointi ei kuitenkaan aina ole paras havainnoinnin muoto, vaan tutkimuskysymys ja tutkimustilanne määräävät sen. Tutkijalla on aina subjektiiviset kokemuksensa ja oletuksensa asioista, joista tietoiseksi tuleminen ja hallinta ovat olennaisen tärkeitä. Tulosten kattavuutta ja luotettavuutta lisää se, että havainnoijia on useampia. Tulosten luotettavuuteen voi vaikuttaa myös se, miten havainnot on tallennettu. Onko tilanne esimerkiksi videoitu, jolloin tilanteisiin on mahdollista palata myöhemmin uudelleen? Onko tutkija kirjannut muistiinpanoja matkan varrella vai vasta havainnoinnin päätyttyä, ja miten huolellisesti ne on tehty? </w:t>
      </w:r>
    </w:p>
    <w:p w14:paraId="01E3B29C" w14:textId="77777777" w:rsidR="002D66E6" w:rsidRPr="00B17D76" w:rsidRDefault="002D66E6" w:rsidP="002D66E6">
      <w:pPr>
        <w:spacing w:line="276" w:lineRule="auto"/>
        <w:rPr>
          <w:rFonts w:ascii="Cambria" w:hAnsi="Cambria" w:cs="Times New Roman"/>
          <w:color w:val="2F5496"/>
          <w:sz w:val="22"/>
          <w:szCs w:val="22"/>
        </w:rPr>
      </w:pPr>
    </w:p>
    <w:p w14:paraId="1747B04A"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Myös haastatteluihin liittyy luotettavuuden näkökulmasta monta tärkeää asiaa. Haastatteleminen vie suhteellisen paljon aikaa, mistä johtuen haastateltava joukko ei usein ole kovin suuri. Tästä syystä saatuja tuloksia ei välttämättä voi suoraan yleistää koko päiväkodin henkilökuntaa tai kaikkia päiväkoteja koskevaksi. Toisaalta, jos haastateltavia on monesta eri päiväkodista ja henkilökunnan kokemukset toistuvat päiväkodista toiseen, voidaan suhteellisen luotettavasti olettaa, että kyseessä on laajempikin ilmiö. Haastatteluissa arkaluontoisista asioista voi olla hankala kertoa kasvotusten. Lisäksi pelkona voi olla, että kerrotut arkaluontoiset asiat pystyttäisiin jälkikäteen yhdistämään kertojaan. Jokaisen haastateltavan anonymiteetti onkin tutkijoiden puolesta suojattava tarkasti. Haastattelun onnistuminen vaatii tutkijalta kokemusta ja osaamista vuoropuhelun ohjaamisessa, jotta tilanteesta tulee avoin ja luottamuksellinen. Lisäksi haastatteluajalla ja -paikalla on merkitystä luotettavan haastattelutilanteen mahdollistamiseksi. </w:t>
      </w:r>
    </w:p>
    <w:bookmarkEnd w:id="1"/>
    <w:p w14:paraId="3442C168" w14:textId="77777777" w:rsidR="002D66E6" w:rsidRDefault="002D66E6" w:rsidP="002D66E6">
      <w:pPr>
        <w:spacing w:line="276" w:lineRule="auto"/>
        <w:rPr>
          <w:rFonts w:ascii="Cambria" w:hAnsi="Cambria" w:cs="Times New Roman"/>
          <w:sz w:val="22"/>
          <w:szCs w:val="22"/>
        </w:rPr>
      </w:pPr>
    </w:p>
    <w:p w14:paraId="000277F2" w14:textId="77777777" w:rsidR="002D66E6" w:rsidRPr="00396ABC" w:rsidRDefault="002D66E6" w:rsidP="002D66E6">
      <w:pPr>
        <w:spacing w:line="276" w:lineRule="auto"/>
        <w:rPr>
          <w:rFonts w:ascii="Cambria" w:hAnsi="Cambria" w:cs="Times New Roman"/>
          <w:sz w:val="22"/>
          <w:szCs w:val="22"/>
        </w:rPr>
      </w:pPr>
    </w:p>
    <w:p w14:paraId="79C02520" w14:textId="77777777" w:rsidR="002D66E6" w:rsidRPr="00667F54" w:rsidRDefault="002D66E6" w:rsidP="002D66E6">
      <w:pPr>
        <w:spacing w:after="240" w:line="276" w:lineRule="auto"/>
        <w:rPr>
          <w:rFonts w:ascii="Cambria" w:hAnsi="Cambria" w:cs="Times New Roman"/>
          <w:sz w:val="22"/>
          <w:szCs w:val="22"/>
        </w:rPr>
      </w:pPr>
      <w:r w:rsidRPr="00396ABC">
        <w:rPr>
          <w:rFonts w:ascii="Cambria" w:hAnsi="Cambria" w:cs="Times New Roman"/>
          <w:b/>
          <w:bCs/>
          <w:sz w:val="22"/>
          <w:szCs w:val="22"/>
        </w:rPr>
        <w:t>4. Pohdi vaikutusmahdollisuuksiasi.</w:t>
      </w:r>
      <w:r>
        <w:rPr>
          <w:rFonts w:ascii="Cambria" w:hAnsi="Cambria" w:cs="Times New Roman"/>
          <w:sz w:val="22"/>
          <w:szCs w:val="22"/>
        </w:rPr>
        <w:br/>
      </w:r>
      <w:r w:rsidRPr="00667F54">
        <w:rPr>
          <w:rFonts w:ascii="Cambria" w:hAnsi="Cambria" w:cs="Times New Roman"/>
          <w:sz w:val="22"/>
          <w:szCs w:val="22"/>
        </w:rPr>
        <w:t>Miten voit itse sosiaalisessa mediassa toimiessasi edistää tiedeviestinnän luotettavuutta</w:t>
      </w:r>
      <w:r>
        <w:rPr>
          <w:rFonts w:ascii="Cambria" w:hAnsi="Cambria" w:cs="Times New Roman"/>
          <w:sz w:val="22"/>
          <w:szCs w:val="22"/>
        </w:rPr>
        <w:t>?</w:t>
      </w:r>
    </w:p>
    <w:p w14:paraId="5B5D2EE4" w14:textId="77777777" w:rsidR="002D66E6" w:rsidRPr="00B17D76" w:rsidRDefault="002D66E6" w:rsidP="002D66E6">
      <w:pPr>
        <w:spacing w:after="240"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Sosiaalinen media tarjoaa loistavan alustan välittää tieteeseen liittyviä asioita ja tuoreita uutisia sekä keskustella tieteeseen liittyvistä asioista. Terveyteen liittyvien tiedeviestien lukeminen ja jakaminen onkin suosittua. Tiedeviestinnän kanssa sosiaalisessa mediassa toimiessa ensisijaisen tärkeää on kriittinen lukutaito, minkä kautta varmistutaan tiedon asianmukaisuudesta ja luotettavuudesta. Viestintää arvioitaessa on syytä pohtia, missä juttu on julkaistu, mitä tarkoitusta varten se on tehty ja kenen intressejä se mahdollisesti palvelee. </w:t>
      </w:r>
    </w:p>
    <w:p w14:paraId="20DCC89B" w14:textId="77777777" w:rsidR="002D66E6" w:rsidRPr="00B17D76" w:rsidRDefault="002D66E6" w:rsidP="002D66E6">
      <w:pPr>
        <w:spacing w:after="240"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Tutkimusten ohella terveysaiheisten juttujen taustalla voi olla asiantuntijalausuntoja. On myös syytä tarkastaa, onko lausunnonantaja esimerkiksi koulutuksensa ja kokemuksensa puolesta perillä käsiteltävästä aiheesta ja onko hänellä taloudellisia tai ideologisia kytköksiä aiheeseen. Tutkimuksia </w:t>
      </w:r>
      <w:r w:rsidRPr="00B17D76">
        <w:rPr>
          <w:rFonts w:ascii="Cambria" w:hAnsi="Cambria" w:cs="Times New Roman"/>
          <w:color w:val="2F5496"/>
          <w:sz w:val="22"/>
          <w:szCs w:val="22"/>
        </w:rPr>
        <w:lastRenderedPageBreak/>
        <w:t xml:space="preserve">arvioidessaan voi käyttää apuna myös esimerkiksi kriteeristöä tutkimuksen arvioimiselle. Lukea ja jakaa kannattaa ainoastaan luotettavaa ja asianmukaista tietoa. Kommentoinnissa kannattaa muistaa monipuolinen ja selkeä perustelu ja argumentointi. Asioihin on harvoin yhtä totuutta, joten uusien näkökulmien tuominen mukaan keskusteluun voi johtaa hedelmälliseen keskusteluun. </w:t>
      </w:r>
    </w:p>
    <w:p w14:paraId="5108ABBD" w14:textId="77777777" w:rsidR="002D66E6" w:rsidRPr="00396ABC" w:rsidRDefault="002D66E6" w:rsidP="002D66E6">
      <w:pPr>
        <w:spacing w:after="240" w:line="276" w:lineRule="auto"/>
        <w:rPr>
          <w:rFonts w:ascii="Cambria" w:hAnsi="Cambria" w:cs="Times New Roman"/>
          <w:sz w:val="22"/>
          <w:szCs w:val="22"/>
        </w:rPr>
      </w:pPr>
    </w:p>
    <w:p w14:paraId="54B14BCC" w14:textId="77777777" w:rsidR="002D66E6"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t>5. Seuraa viikon ajan median tiedeviestintää ja kiinnitä huomiota seuraaviin asioihin:</w:t>
      </w:r>
    </w:p>
    <w:p w14:paraId="30B5BEA8" w14:textId="77777777" w:rsidR="002D66E6" w:rsidRPr="00396ABC" w:rsidRDefault="002D66E6" w:rsidP="002D66E6">
      <w:pPr>
        <w:spacing w:line="276" w:lineRule="auto"/>
        <w:rPr>
          <w:rFonts w:ascii="Cambria" w:hAnsi="Cambria" w:cs="Times New Roman"/>
          <w:b/>
          <w:bCs/>
          <w:sz w:val="22"/>
          <w:szCs w:val="22"/>
        </w:rPr>
      </w:pPr>
    </w:p>
    <w:p w14:paraId="475FFBF0" w14:textId="77777777" w:rsidR="002D66E6" w:rsidRDefault="002D66E6" w:rsidP="002D66E6">
      <w:pPr>
        <w:spacing w:line="276" w:lineRule="auto"/>
        <w:rPr>
          <w:rFonts w:ascii="Cambria" w:hAnsi="Cambria" w:cs="Times New Roman"/>
          <w:sz w:val="22"/>
          <w:szCs w:val="22"/>
        </w:rPr>
      </w:pPr>
      <w:bookmarkStart w:id="2" w:name="_Hlk75086221"/>
      <w:r w:rsidRPr="006811F5">
        <w:rPr>
          <w:rFonts w:ascii="Cambria" w:hAnsi="Cambria" w:cs="Times New Roman"/>
          <w:sz w:val="22"/>
          <w:szCs w:val="22"/>
        </w:rPr>
        <w:t xml:space="preserve">a. Millaisia aiheita ja teemoja käsitellään ja miksi? </w:t>
      </w:r>
    </w:p>
    <w:p w14:paraId="4850F5E9" w14:textId="77777777" w:rsidR="002D66E6" w:rsidRPr="006811F5" w:rsidRDefault="002D66E6" w:rsidP="002D66E6">
      <w:pPr>
        <w:spacing w:line="276" w:lineRule="auto"/>
        <w:rPr>
          <w:rFonts w:ascii="Cambria" w:hAnsi="Cambria" w:cs="Times New Roman"/>
          <w:sz w:val="22"/>
          <w:szCs w:val="22"/>
        </w:rPr>
      </w:pPr>
    </w:p>
    <w:p w14:paraId="64F6CFAC" w14:textId="77777777" w:rsidR="002D66E6" w:rsidRPr="00B17D76" w:rsidRDefault="002D66E6" w:rsidP="002D66E6">
      <w:pPr>
        <w:spacing w:line="276" w:lineRule="auto"/>
        <w:rPr>
          <w:rFonts w:ascii="Cambria" w:hAnsi="Cambria" w:cs="Times New Roman"/>
          <w:color w:val="2F5496"/>
          <w:sz w:val="22"/>
          <w:szCs w:val="22"/>
        </w:rPr>
      </w:pPr>
      <w:bookmarkStart w:id="3" w:name="_Hlk75594508"/>
      <w:r w:rsidRPr="00B17D76">
        <w:rPr>
          <w:rFonts w:ascii="Cambria" w:hAnsi="Cambria" w:cs="Times New Roman"/>
          <w:color w:val="2F5496"/>
          <w:sz w:val="22"/>
          <w:szCs w:val="22"/>
        </w:rPr>
        <w:t>Opiskelijan oma vastaus.</w:t>
      </w:r>
      <w:bookmarkEnd w:id="3"/>
      <w:r w:rsidRPr="00B17D76">
        <w:rPr>
          <w:rFonts w:ascii="Cambria" w:hAnsi="Cambria" w:cs="Times New Roman"/>
          <w:color w:val="2F5496"/>
          <w:sz w:val="22"/>
          <w:szCs w:val="22"/>
        </w:rPr>
        <w:t xml:space="preserve"> Tehtävän vastaukset riippuvat mediassa esiin nousevista teemoista. </w:t>
      </w:r>
      <w:bookmarkStart w:id="4" w:name="_Hlk75594024"/>
      <w:r w:rsidRPr="00B17D76">
        <w:rPr>
          <w:rFonts w:ascii="Cambria" w:hAnsi="Cambria" w:cs="Times New Roman"/>
          <w:color w:val="2F5496"/>
          <w:sz w:val="22"/>
          <w:szCs w:val="22"/>
        </w:rPr>
        <w:t>Tärkeää on pohtia, miksi kyseiset asiat ja teemat ovat saaneet palstatilaa.</w:t>
      </w:r>
      <w:bookmarkEnd w:id="4"/>
      <w:r w:rsidRPr="00B17D76">
        <w:rPr>
          <w:rFonts w:ascii="Cambria" w:hAnsi="Cambria" w:cs="Times New Roman"/>
          <w:color w:val="2F5496"/>
          <w:sz w:val="22"/>
          <w:szCs w:val="22"/>
        </w:rPr>
        <w:t xml:space="preserve"> </w:t>
      </w:r>
    </w:p>
    <w:p w14:paraId="6B89E621" w14:textId="77777777" w:rsidR="002D66E6" w:rsidRPr="006811F5" w:rsidRDefault="002D66E6" w:rsidP="002D66E6">
      <w:pPr>
        <w:spacing w:line="276" w:lineRule="auto"/>
        <w:rPr>
          <w:rFonts w:ascii="Cambria" w:hAnsi="Cambria" w:cs="Times New Roman"/>
          <w:color w:val="0070C0"/>
          <w:sz w:val="22"/>
          <w:szCs w:val="22"/>
        </w:rPr>
      </w:pPr>
    </w:p>
    <w:bookmarkEnd w:id="2"/>
    <w:p w14:paraId="244E685E" w14:textId="77777777" w:rsidR="002D66E6" w:rsidRDefault="002D66E6" w:rsidP="002D66E6">
      <w:pPr>
        <w:spacing w:line="276" w:lineRule="auto"/>
        <w:rPr>
          <w:rFonts w:ascii="Cambria" w:hAnsi="Cambria" w:cs="Times New Roman"/>
          <w:sz w:val="22"/>
          <w:szCs w:val="22"/>
        </w:rPr>
      </w:pPr>
      <w:r w:rsidRPr="006811F5">
        <w:rPr>
          <w:rFonts w:ascii="Cambria" w:hAnsi="Cambria" w:cs="Times New Roman"/>
          <w:sz w:val="22"/>
          <w:szCs w:val="22"/>
        </w:rPr>
        <w:t>b. Miten tutkimustulokset kuvataan?</w:t>
      </w:r>
    </w:p>
    <w:p w14:paraId="6F0692AC" w14:textId="77777777" w:rsidR="002D66E6" w:rsidRPr="006811F5" w:rsidRDefault="002D66E6" w:rsidP="002D66E6">
      <w:pPr>
        <w:spacing w:line="276" w:lineRule="auto"/>
        <w:rPr>
          <w:rFonts w:ascii="Cambria" w:hAnsi="Cambria" w:cs="Times New Roman"/>
          <w:sz w:val="22"/>
          <w:szCs w:val="22"/>
        </w:rPr>
      </w:pPr>
    </w:p>
    <w:p w14:paraId="6A35B6FC"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Opiskelijan oma vastaus. Tärkeää on pohtia, miten tutkimustuloksia käsitellään ja onko esimerkiksi yleistajuistamisessa onnistuttu. </w:t>
      </w:r>
    </w:p>
    <w:p w14:paraId="29B9CDF8" w14:textId="77777777" w:rsidR="002D66E6" w:rsidRPr="00B17D76" w:rsidRDefault="002D66E6" w:rsidP="002D66E6">
      <w:pPr>
        <w:spacing w:line="276" w:lineRule="auto"/>
        <w:rPr>
          <w:rFonts w:ascii="Cambria" w:hAnsi="Cambria" w:cs="Times New Roman"/>
          <w:color w:val="2F5496"/>
          <w:sz w:val="22"/>
          <w:szCs w:val="22"/>
        </w:rPr>
      </w:pPr>
    </w:p>
    <w:p w14:paraId="581F7690" w14:textId="77777777" w:rsidR="002D66E6" w:rsidRDefault="002D66E6" w:rsidP="002D66E6">
      <w:pPr>
        <w:spacing w:line="276" w:lineRule="auto"/>
        <w:rPr>
          <w:rFonts w:ascii="Cambria" w:hAnsi="Cambria" w:cs="Times New Roman"/>
          <w:sz w:val="22"/>
          <w:szCs w:val="22"/>
        </w:rPr>
      </w:pPr>
      <w:r w:rsidRPr="006811F5">
        <w:rPr>
          <w:rFonts w:ascii="Cambria" w:hAnsi="Cambria" w:cs="Times New Roman"/>
          <w:sz w:val="22"/>
          <w:szCs w:val="22"/>
        </w:rPr>
        <w:t xml:space="preserve">c. Pystyykö annetun tiedon pohjalta arvioimaan tutkimuksen luotettavuutta? Onko eri medioissa uutisoitu samasta tutkimuksesta eri tavoin? </w:t>
      </w:r>
    </w:p>
    <w:p w14:paraId="4A14597D" w14:textId="77777777" w:rsidR="002D66E6" w:rsidRPr="006811F5" w:rsidRDefault="002D66E6" w:rsidP="002D66E6">
      <w:pPr>
        <w:spacing w:line="276" w:lineRule="auto"/>
        <w:rPr>
          <w:rFonts w:ascii="Cambria" w:hAnsi="Cambria" w:cs="Times New Roman"/>
          <w:sz w:val="22"/>
          <w:szCs w:val="22"/>
        </w:rPr>
      </w:pPr>
    </w:p>
    <w:p w14:paraId="09B9EED3"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Opiskelijan oma vastaus. Tärkeää on pohtia, miten tiedon luotettavuutta voi arvioida. </w:t>
      </w:r>
    </w:p>
    <w:p w14:paraId="3D0BC309" w14:textId="77777777" w:rsidR="002D66E6" w:rsidRDefault="002D66E6" w:rsidP="002D66E6">
      <w:pPr>
        <w:spacing w:line="276" w:lineRule="auto"/>
        <w:rPr>
          <w:rFonts w:ascii="Cambria" w:hAnsi="Cambria" w:cs="Times New Roman"/>
          <w:b/>
          <w:bCs/>
          <w:sz w:val="22"/>
          <w:szCs w:val="22"/>
        </w:rPr>
      </w:pPr>
    </w:p>
    <w:p w14:paraId="0745F475" w14:textId="77777777" w:rsidR="002D66E6" w:rsidRDefault="002D66E6" w:rsidP="002D66E6">
      <w:pPr>
        <w:spacing w:line="276" w:lineRule="auto"/>
        <w:rPr>
          <w:rFonts w:ascii="Cambria" w:hAnsi="Cambria" w:cs="Times New Roman"/>
          <w:b/>
          <w:bCs/>
          <w:sz w:val="22"/>
          <w:szCs w:val="22"/>
        </w:rPr>
      </w:pPr>
    </w:p>
    <w:p w14:paraId="21BFEB39" w14:textId="77777777" w:rsidR="002D66E6" w:rsidRPr="00396ABC"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t>6. Tieteen yleistajuistamisen haasteet</w:t>
      </w:r>
    </w:p>
    <w:p w14:paraId="5AAF9E75" w14:textId="77777777" w:rsidR="002D66E6" w:rsidRDefault="002D66E6" w:rsidP="002D66E6">
      <w:pPr>
        <w:spacing w:line="276" w:lineRule="auto"/>
        <w:rPr>
          <w:rFonts w:ascii="Cambria" w:hAnsi="Cambria" w:cs="Times New Roman"/>
          <w:sz w:val="22"/>
          <w:szCs w:val="22"/>
        </w:rPr>
      </w:pPr>
      <w:r w:rsidRPr="006811F5">
        <w:rPr>
          <w:rFonts w:ascii="Cambria" w:hAnsi="Cambria" w:cs="Times New Roman"/>
          <w:sz w:val="22"/>
          <w:szCs w:val="22"/>
        </w:rPr>
        <w:t>Pohdi tieteen yleistajuistamisen haasteita sekä tieteen että journalismin näkökulmasta.</w:t>
      </w:r>
    </w:p>
    <w:p w14:paraId="1E5EC38D" w14:textId="77777777" w:rsidR="002D66E6" w:rsidRPr="006811F5" w:rsidRDefault="002D66E6" w:rsidP="002D66E6">
      <w:pPr>
        <w:spacing w:line="276" w:lineRule="auto"/>
        <w:rPr>
          <w:rFonts w:ascii="Cambria" w:hAnsi="Cambria" w:cs="Times New Roman"/>
          <w:sz w:val="22"/>
          <w:szCs w:val="22"/>
        </w:rPr>
      </w:pPr>
    </w:p>
    <w:p w14:paraId="3480B1EB"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Tieteen yleistajuistamisella tarkoitetaan tutkimukseen liittyvän tiedon viestimistä niin, että se olisi ymmärrettävää ja helposti lähestyttävää kaikille riippumatta siitä onko ihmisillä kokemusta tutkimuksesta. Sekä tiede että journalismi pyrkivät tiedeviestinnässä totuudenmukaisuuteen. Niillä on kuitenkin toisistaan poikkeavat lähtökohdat, mikä luo molemmille omat haasteensa. Lähtökohtaisesti tieteen yleistajuistamisessa tasapainoillaan yksinkertaistamisen ja tieteellisen tarkkuuden säilyttämisen välillä.</w:t>
      </w:r>
    </w:p>
    <w:p w14:paraId="483658F7" w14:textId="77777777" w:rsidR="002D66E6" w:rsidRPr="00B17D76" w:rsidRDefault="002D66E6" w:rsidP="002D66E6">
      <w:pPr>
        <w:spacing w:line="276" w:lineRule="auto"/>
        <w:rPr>
          <w:rFonts w:ascii="Cambria" w:hAnsi="Cambria" w:cs="Times New Roman"/>
          <w:color w:val="2F5496"/>
          <w:sz w:val="22"/>
          <w:szCs w:val="22"/>
        </w:rPr>
      </w:pPr>
    </w:p>
    <w:p w14:paraId="67FFD857"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Tieteen näkökulmasta yleistajuistaminen voi olla haastavaa, koska tutkimuksen tulokset ovat usein monimutkaisia ja monisyisiä, jolloin niiden yksinkertaistaminen on usein hankalaa. Lisäksi tieteessä vallitsee yleisesti periaate, jonka mukaan kaikki tulokset ja päätelmät tulee asettaa kriittisen tarkastelun ja epäilyn alle, mistä johtuen varmoja totuuksia tai eksakteja vastauksia ei haluta välttämättä tarjotakaan. Muiden ihmisten voi kuitenkin olla hankala tarttua tuloksiin ja ymmärtää monimutkaisia tutkimustuloksia tai soveltaa niitä käytäntöön, mikäli tutkijat eivät tarjoa selkeitä selityksiä ja vastauksia. On kuitenkin tärkeää, että tieteestä pystytään keskustelemaan laajasti, ei ainoastaan tiedemaailman sisällä. </w:t>
      </w:r>
    </w:p>
    <w:p w14:paraId="5D1B6EED" w14:textId="77777777" w:rsidR="002D66E6" w:rsidRPr="00B17D76" w:rsidRDefault="002D66E6" w:rsidP="002D66E6">
      <w:pPr>
        <w:spacing w:line="276" w:lineRule="auto"/>
        <w:rPr>
          <w:rFonts w:ascii="Cambria" w:hAnsi="Cambria" w:cs="Times New Roman"/>
          <w:color w:val="2F5496"/>
          <w:sz w:val="22"/>
          <w:szCs w:val="22"/>
        </w:rPr>
      </w:pPr>
    </w:p>
    <w:p w14:paraId="007B5477"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Journalismin näkökulmasta tiedeviestinnän haasteena on usein liiallinen yksinkertaistaminen, pelkistäminen ja yleistäminen, mikä voi pahimmassa tapauksessa myös vääristää asioita tai johtaa </w:t>
      </w:r>
      <w:r w:rsidRPr="00B17D76">
        <w:rPr>
          <w:rFonts w:ascii="Cambria" w:hAnsi="Cambria" w:cs="Times New Roman"/>
          <w:color w:val="2F5496"/>
          <w:sz w:val="22"/>
          <w:szCs w:val="22"/>
        </w:rPr>
        <w:lastRenderedPageBreak/>
        <w:t xml:space="preserve">harhaan. Tiedeuutisointi perustuu usein yksittäisiin tutkimuksiin, jolloin vaarana voi olla liian pitkälle menevien johtopäätösten tekeminen. Totuudenmukaisin tieto kertyy lukuisten aiheesta tehtyjen tutkimusten pohjalta. Toisinaan yksittäisiä asioita myös irrotetaan asiakokonaisuudesta, mikä saattaa vääristää tuloksia. Palstatilaa eivät myöskään välttämättä aina saa sellaiset tutkimukset, jotka ovat tiedemaailman näkökulmasta merkittävimpiä, vaan toisinaan myös sellaiset asiat, jotka ensisijaisesti kiinnostavat lehden lukijoita.  </w:t>
      </w:r>
    </w:p>
    <w:p w14:paraId="16640EF5" w14:textId="77777777" w:rsidR="002D66E6" w:rsidRDefault="002D66E6" w:rsidP="002D66E6">
      <w:pPr>
        <w:spacing w:line="276" w:lineRule="auto"/>
        <w:rPr>
          <w:rFonts w:ascii="Cambria" w:hAnsi="Cambria" w:cs="Times New Roman"/>
          <w:sz w:val="22"/>
          <w:szCs w:val="22"/>
        </w:rPr>
      </w:pPr>
    </w:p>
    <w:p w14:paraId="179E898D" w14:textId="77777777" w:rsidR="002D66E6" w:rsidRDefault="002D66E6" w:rsidP="002D66E6">
      <w:pPr>
        <w:spacing w:line="276" w:lineRule="auto"/>
        <w:rPr>
          <w:rFonts w:ascii="Cambria" w:hAnsi="Cambria" w:cs="Times New Roman"/>
          <w:b/>
          <w:bCs/>
          <w:sz w:val="22"/>
          <w:szCs w:val="22"/>
        </w:rPr>
      </w:pPr>
      <w:bookmarkStart w:id="5" w:name="_Hlk75440121"/>
    </w:p>
    <w:p w14:paraId="380F9C36" w14:textId="77777777" w:rsidR="002D66E6" w:rsidRPr="00396ABC"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t>7. Lue uutinen.</w:t>
      </w:r>
    </w:p>
    <w:p w14:paraId="49E8855E" w14:textId="77777777" w:rsidR="002D66E6" w:rsidRDefault="002D66E6" w:rsidP="002D66E6">
      <w:pPr>
        <w:spacing w:line="276" w:lineRule="auto"/>
        <w:rPr>
          <w:rFonts w:ascii="Cambria" w:hAnsi="Cambria" w:cs="Times New Roman"/>
          <w:sz w:val="22"/>
          <w:szCs w:val="22"/>
        </w:rPr>
      </w:pPr>
      <w:r w:rsidRPr="00E76D69">
        <w:rPr>
          <w:rFonts w:ascii="Cambria" w:hAnsi="Cambria" w:cs="Times New Roman"/>
          <w:sz w:val="22"/>
          <w:szCs w:val="22"/>
        </w:rPr>
        <w:t xml:space="preserve">Lue sivun alalaidassa oleva Duodecimin julkaisema terveysuutinen. Mitä muita tietoja sinun tulisi saada kyseisestä tutkimuksesta, jotta pystyisit paremmin arvioimaan sen luotettavuutta? </w:t>
      </w:r>
    </w:p>
    <w:p w14:paraId="78513CB7" w14:textId="77777777" w:rsidR="002D66E6" w:rsidRPr="00E76D69" w:rsidRDefault="002D66E6" w:rsidP="002D66E6">
      <w:pPr>
        <w:spacing w:line="276" w:lineRule="auto"/>
        <w:rPr>
          <w:rFonts w:ascii="Cambria" w:hAnsi="Cambria" w:cs="Times New Roman"/>
          <w:sz w:val="22"/>
          <w:szCs w:val="22"/>
        </w:rPr>
      </w:pPr>
    </w:p>
    <w:p w14:paraId="5F9322F4"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Lisätietoa kaivattaisiin niin aineistosta, tutkimusasetelmasta, analyysimenetelmistä kuin tulkinnastakin. Tutkimuksen aivoverenkiertohäiriöitä käsittelevä osuus perustui 2 900 yli 45-vuotiaan seurantatietoihin. Dementiatutkimukseen osallistui 1 500 yli 60-vuotiasta. Heidän valitsemisestaan (otoksesta) ja lähtötilanteestaan ei kerrota mitään: tulkinnan kannalta olisi tärkeää tietää, oliko heillä entuudestaan muita mahdollisia aivoverenkiertohäiriöihin ja dementiaan vaikuttavia riskejä. Myöskään kadosta ei kerrota mitään: kuinka monta tutkittavia oli tutkimuksen alussa ja lopussa, tapahtuiko mahdollista valikoitumista? Lisäksi jää epäselväksi, oliko dementia- ja aivoverenkiertohäiriötutkimukseen osallistuvien joukko täysin eri vai osittain sama joukko.</w:t>
      </w:r>
    </w:p>
    <w:p w14:paraId="2AB0C8D4" w14:textId="77777777" w:rsidR="002D66E6" w:rsidRPr="00B17D76" w:rsidRDefault="002D66E6" w:rsidP="002D66E6">
      <w:pPr>
        <w:spacing w:line="276" w:lineRule="auto"/>
        <w:rPr>
          <w:rFonts w:ascii="Cambria" w:hAnsi="Cambria" w:cs="Times New Roman"/>
          <w:color w:val="2F5496"/>
          <w:sz w:val="22"/>
          <w:szCs w:val="22"/>
        </w:rPr>
      </w:pPr>
    </w:p>
    <w:p w14:paraId="5B152CDA"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 xml:space="preserve">Lukijan olisi olennaista tietää, mitkä kaikki tekijät liittyvät aivoverenkiertohäiriöihin ja dementiaan ja miten ne on huomioitu tutkimuksessa. Uutisessa tutkimusasetelma, aineistonkeruu ja aineiston analyysi on kuvattu heikosti. Voidakseen arvioida luotettavuutta, lukijan pitäisi tietää tarkemmin esimerkiksi se, miten seuranta toteutettiin ja miten tulokset analysoitiin. </w:t>
      </w:r>
    </w:p>
    <w:p w14:paraId="56669E1B" w14:textId="77777777" w:rsidR="002D66E6" w:rsidRDefault="002D66E6" w:rsidP="002D66E6">
      <w:pPr>
        <w:spacing w:line="276" w:lineRule="auto"/>
        <w:rPr>
          <w:rFonts w:ascii="Cambria" w:hAnsi="Cambria" w:cs="Times New Roman"/>
          <w:color w:val="2F5496"/>
          <w:sz w:val="22"/>
          <w:szCs w:val="22"/>
        </w:rPr>
      </w:pPr>
    </w:p>
    <w:p w14:paraId="39CC55C3"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Tutkimuksen tarkemmat lähdetiedot puuttuvat, joten lukijan voi olla hankalaa saada käsiinsä alkuperäistä tutkimusta. Lisäksi olisi hyvä tietää minkä tasoisesta lehdestä on kyse, esimerkiksi ovatko siinä julkaistut artikkelit vertaisarvioitu.</w:t>
      </w:r>
    </w:p>
    <w:p w14:paraId="6F02FF84" w14:textId="77777777" w:rsidR="002D66E6" w:rsidRPr="00B17D76" w:rsidRDefault="002D66E6" w:rsidP="002D66E6">
      <w:pPr>
        <w:spacing w:after="240" w:line="276" w:lineRule="auto"/>
        <w:rPr>
          <w:rFonts w:ascii="Cambria" w:hAnsi="Cambria" w:cs="Times New Roman"/>
          <w:b/>
          <w:bCs/>
          <w:color w:val="2F5496"/>
          <w:sz w:val="22"/>
          <w:szCs w:val="22"/>
        </w:rPr>
      </w:pPr>
    </w:p>
    <w:bookmarkEnd w:id="5"/>
    <w:p w14:paraId="61115773" w14:textId="77777777" w:rsidR="002D66E6" w:rsidRDefault="002D66E6" w:rsidP="002D66E6">
      <w:pPr>
        <w:spacing w:line="276" w:lineRule="auto"/>
        <w:rPr>
          <w:rFonts w:ascii="Cambria" w:hAnsi="Cambria" w:cs="Times New Roman"/>
          <w:b/>
          <w:bCs/>
          <w:sz w:val="22"/>
          <w:szCs w:val="22"/>
        </w:rPr>
      </w:pPr>
    </w:p>
    <w:p w14:paraId="7154B137" w14:textId="77777777" w:rsidR="002D66E6" w:rsidRPr="00396ABC" w:rsidRDefault="002D66E6" w:rsidP="002D66E6">
      <w:pPr>
        <w:spacing w:line="276" w:lineRule="auto"/>
        <w:rPr>
          <w:rFonts w:ascii="Cambria" w:hAnsi="Cambria" w:cs="Times New Roman"/>
          <w:b/>
          <w:bCs/>
          <w:sz w:val="22"/>
          <w:szCs w:val="22"/>
        </w:rPr>
      </w:pPr>
      <w:r w:rsidRPr="00396ABC">
        <w:rPr>
          <w:rFonts w:ascii="Cambria" w:hAnsi="Cambria" w:cs="Times New Roman"/>
          <w:b/>
          <w:bCs/>
          <w:sz w:val="22"/>
          <w:szCs w:val="22"/>
        </w:rPr>
        <w:t>8. Arvioi tiedonhakusi tuloksia.</w:t>
      </w:r>
    </w:p>
    <w:p w14:paraId="591F6E09" w14:textId="77777777" w:rsidR="002D66E6" w:rsidRDefault="002D66E6" w:rsidP="002D66E6">
      <w:pPr>
        <w:spacing w:line="276" w:lineRule="auto"/>
        <w:rPr>
          <w:rFonts w:ascii="Cambria" w:hAnsi="Cambria" w:cs="Times New Roman"/>
          <w:sz w:val="22"/>
          <w:szCs w:val="22"/>
        </w:rPr>
      </w:pPr>
      <w:r w:rsidRPr="003346EA">
        <w:rPr>
          <w:rFonts w:ascii="Cambria" w:hAnsi="Cambria" w:cs="Times New Roman"/>
          <w:sz w:val="22"/>
          <w:szCs w:val="22"/>
        </w:rPr>
        <w:t xml:space="preserve">Palaa luvussa 1 tekemääsi tehtävään 5 ja arvioi tiedonhaussa löytämääsi tietoa tässä luvussa esitettyjen kriteereiden pohjalta. </w:t>
      </w:r>
    </w:p>
    <w:p w14:paraId="25CD2E35" w14:textId="77777777" w:rsidR="002D66E6" w:rsidRPr="00B17D76" w:rsidRDefault="002D66E6" w:rsidP="002D66E6">
      <w:pPr>
        <w:spacing w:line="276" w:lineRule="auto"/>
        <w:rPr>
          <w:rFonts w:ascii="Cambria" w:hAnsi="Cambria" w:cs="Times New Roman"/>
          <w:color w:val="2F5496"/>
          <w:sz w:val="22"/>
          <w:szCs w:val="22"/>
        </w:rPr>
      </w:pPr>
    </w:p>
    <w:p w14:paraId="4B72600D" w14:textId="77777777" w:rsidR="002D66E6" w:rsidRPr="00B17D76" w:rsidRDefault="002D66E6" w:rsidP="002D66E6">
      <w:pPr>
        <w:spacing w:line="276" w:lineRule="auto"/>
        <w:rPr>
          <w:rFonts w:ascii="Cambria" w:hAnsi="Cambria" w:cs="Times New Roman"/>
          <w:color w:val="2F5496"/>
          <w:sz w:val="22"/>
          <w:szCs w:val="22"/>
        </w:rPr>
      </w:pPr>
      <w:r w:rsidRPr="00B17D76">
        <w:rPr>
          <w:rFonts w:ascii="Cambria" w:hAnsi="Cambria" w:cs="Times New Roman"/>
          <w:color w:val="2F5496"/>
          <w:sz w:val="22"/>
          <w:szCs w:val="22"/>
        </w:rPr>
        <w:t>Opiskelijan oma vastaus. Arvioinnin pohjana voi käyttää listaa sivulta 55. Tärkeää on pohtia, kuka tiedot on julkaissut ja missä, mikä on tekstien tavoite, millainen on tekstien laatu ja millaisia lähteitä tietojen taustalla on, vai onko mitään.</w:t>
      </w:r>
    </w:p>
    <w:p w14:paraId="017E9603" w14:textId="6E7B03AA" w:rsidR="00FE2711" w:rsidRPr="00396ABC" w:rsidRDefault="00FE2711" w:rsidP="006C4C49">
      <w:pPr>
        <w:spacing w:line="276" w:lineRule="auto"/>
        <w:rPr>
          <w:rFonts w:ascii="Cambria" w:hAnsi="Cambria"/>
          <w:b/>
          <w:bCs/>
          <w:sz w:val="22"/>
          <w:szCs w:val="22"/>
        </w:rPr>
      </w:pPr>
    </w:p>
    <w:sectPr w:rsidR="00FE2711" w:rsidRPr="00396ABC" w:rsidSect="00782425">
      <w:headerReference w:type="even" r:id="rId8"/>
      <w:headerReference w:type="default" r:id="rId9"/>
      <w:footerReference w:type="even" r:id="rId10"/>
      <w:footerReference w:type="default" r:id="rId11"/>
      <w:headerReference w:type="first" r:id="rId12"/>
      <w:footerReference w:type="first" r:id="rId13"/>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8C6C" w14:textId="77777777" w:rsidR="007555ED" w:rsidRDefault="007555ED" w:rsidP="00C9266D">
      <w:r>
        <w:separator/>
      </w:r>
    </w:p>
  </w:endnote>
  <w:endnote w:type="continuationSeparator" w:id="0">
    <w:p w14:paraId="348C8589" w14:textId="77777777" w:rsidR="007555ED" w:rsidRDefault="007555ED"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8623" w14:textId="77777777" w:rsidR="00D14DEC" w:rsidRDefault="00D14D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6918" w14:textId="77777777" w:rsidR="00D14DEC" w:rsidRDefault="00D14DE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F0C8A" w14:textId="77777777" w:rsidR="007555ED" w:rsidRDefault="007555ED" w:rsidP="00C9266D">
      <w:r>
        <w:separator/>
      </w:r>
    </w:p>
  </w:footnote>
  <w:footnote w:type="continuationSeparator" w:id="0">
    <w:p w14:paraId="693BF332" w14:textId="77777777" w:rsidR="007555ED" w:rsidRDefault="007555ED"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F320" w14:textId="77777777" w:rsidR="00D14DEC" w:rsidRDefault="00D14DE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BA84" w14:textId="77777777" w:rsidR="00D14DEC" w:rsidRDefault="00D14DE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843C2"/>
    <w:rsid w:val="000B2BBC"/>
    <w:rsid w:val="00153F80"/>
    <w:rsid w:val="001A01B3"/>
    <w:rsid w:val="00267BBA"/>
    <w:rsid w:val="002B756D"/>
    <w:rsid w:val="002D4868"/>
    <w:rsid w:val="002D66E6"/>
    <w:rsid w:val="003346EA"/>
    <w:rsid w:val="00396ABC"/>
    <w:rsid w:val="003B5A3E"/>
    <w:rsid w:val="00667F54"/>
    <w:rsid w:val="006811F5"/>
    <w:rsid w:val="006C4C49"/>
    <w:rsid w:val="006F1CB4"/>
    <w:rsid w:val="007555ED"/>
    <w:rsid w:val="00761687"/>
    <w:rsid w:val="00782425"/>
    <w:rsid w:val="007973FD"/>
    <w:rsid w:val="008D7A6F"/>
    <w:rsid w:val="00940159"/>
    <w:rsid w:val="00A207D5"/>
    <w:rsid w:val="00AD5BA0"/>
    <w:rsid w:val="00B17D76"/>
    <w:rsid w:val="00B333C0"/>
    <w:rsid w:val="00B80D89"/>
    <w:rsid w:val="00BB2F02"/>
    <w:rsid w:val="00C9266D"/>
    <w:rsid w:val="00D04FD7"/>
    <w:rsid w:val="00D14DEC"/>
    <w:rsid w:val="00D82510"/>
    <w:rsid w:val="00E22917"/>
    <w:rsid w:val="00E76D69"/>
    <w:rsid w:val="00F00DA4"/>
    <w:rsid w:val="00F218A6"/>
    <w:rsid w:val="00F21D9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1455</Words>
  <Characters>11789</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Iiris Vaahtojärvi</cp:lastModifiedBy>
  <cp:revision>12</cp:revision>
  <dcterms:created xsi:type="dcterms:W3CDTF">2021-09-03T11:35:00Z</dcterms:created>
  <dcterms:modified xsi:type="dcterms:W3CDTF">2021-10-29T11:59:00Z</dcterms:modified>
</cp:coreProperties>
</file>