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A714" w14:textId="77777777" w:rsidR="00DA3673" w:rsidRDefault="00E45BDC">
      <w:pPr>
        <w:spacing w:after="160" w:line="276" w:lineRule="auto"/>
        <w:rPr>
          <w:rFonts w:ascii="Cambria" w:eastAsia="Cambria" w:hAnsi="Cambria" w:cs="Cambria"/>
          <w:b/>
          <w:color w:val="EF706D"/>
          <w:sz w:val="40"/>
          <w:szCs w:val="40"/>
        </w:rPr>
      </w:pPr>
      <w:r>
        <w:rPr>
          <w:rFonts w:ascii="Cambria" w:eastAsia="Cambria" w:hAnsi="Cambria" w:cs="Cambria"/>
          <w:b/>
          <w:color w:val="EF706D"/>
          <w:sz w:val="40"/>
          <w:szCs w:val="40"/>
        </w:rPr>
        <w:t>1. Terveyteen liittyvän tiedon hankinta</w:t>
      </w:r>
    </w:p>
    <w:p w14:paraId="61F77471" w14:textId="77777777" w:rsidR="00DA3673" w:rsidRDefault="00DA3673">
      <w:pPr>
        <w:spacing w:after="160" w:line="276" w:lineRule="auto"/>
        <w:rPr>
          <w:rFonts w:ascii="Cambria" w:eastAsia="Cambria" w:hAnsi="Cambria" w:cs="Cambria"/>
          <w:b/>
          <w:color w:val="009999"/>
          <w:sz w:val="32"/>
          <w:szCs w:val="32"/>
        </w:rPr>
      </w:pPr>
    </w:p>
    <w:p w14:paraId="6D3B0C82" w14:textId="77777777" w:rsidR="00DA3673" w:rsidRDefault="00E45BDC">
      <w:pPr>
        <w:spacing w:after="160" w:line="276" w:lineRule="auto"/>
        <w:rPr>
          <w:rFonts w:ascii="Cambria" w:eastAsia="Cambria" w:hAnsi="Cambria" w:cs="Cambria"/>
          <w:b/>
          <w:sz w:val="36"/>
          <w:szCs w:val="36"/>
        </w:rPr>
      </w:pPr>
      <w:r>
        <w:rPr>
          <w:rFonts w:ascii="Cambria" w:eastAsia="Cambria" w:hAnsi="Cambria" w:cs="Cambria"/>
          <w:b/>
          <w:sz w:val="36"/>
          <w:szCs w:val="36"/>
        </w:rPr>
        <w:t>Tehtävien vastaukset</w:t>
      </w:r>
    </w:p>
    <w:p w14:paraId="0D5BC1EE" w14:textId="77777777" w:rsidR="00DA3673" w:rsidRDefault="00DA3673">
      <w:pPr>
        <w:spacing w:after="160" w:line="276" w:lineRule="auto"/>
        <w:rPr>
          <w:rFonts w:ascii="Cambria" w:eastAsia="Cambria" w:hAnsi="Cambria" w:cs="Cambria"/>
        </w:rPr>
      </w:pPr>
    </w:p>
    <w:p w14:paraId="453C22F3" w14:textId="77777777" w:rsidR="001808CA" w:rsidRDefault="001808CA" w:rsidP="001808CA">
      <w:pPr>
        <w:spacing w:line="274" w:lineRule="auto"/>
        <w:rPr>
          <w:rFonts w:ascii="Cambria" w:eastAsia="Cambria" w:hAnsi="Cambria" w:cs="Cambria"/>
          <w:b/>
          <w:sz w:val="22"/>
          <w:szCs w:val="22"/>
        </w:rPr>
      </w:pPr>
      <w:r>
        <w:rPr>
          <w:rFonts w:ascii="Cambria" w:eastAsia="Cambria" w:hAnsi="Cambria" w:cs="Cambria"/>
          <w:b/>
          <w:sz w:val="22"/>
          <w:szCs w:val="22"/>
        </w:rPr>
        <w:t xml:space="preserve">1. Vertaile arkitietoa ja tieteellistä tietoa. </w:t>
      </w:r>
    </w:p>
    <w:p w14:paraId="2F158AC9"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Vertaile, miten arkitieto ja tieteellinen tieto eroavat toisistaan.</w:t>
      </w:r>
    </w:p>
    <w:p w14:paraId="687A17EF"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Arkitiedon ja tieteellisen tiedon eroavaisuudet:</w:t>
      </w:r>
    </w:p>
    <w:p w14:paraId="2EF520A4"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 </w:t>
      </w:r>
    </w:p>
    <w:p w14:paraId="0CF1EDE0"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Arkitieto on yleensä subjektiivista, intuitiivista ja tiedostamatonta. Se on valikoitunutta eli usein ihmiset hakevat tietoa, joka tukee heidän olemassa olevia ajatuksiaan. Arkitieto on henkilökohtaista, se kertyy satunnaisesti ja on pysyvää. Sen hankkiminen on helppoa ja nopeaa. </w:t>
      </w:r>
    </w:p>
    <w:p w14:paraId="383F69FD" w14:textId="77777777" w:rsidR="001808CA" w:rsidRDefault="001808CA" w:rsidP="001808CA">
      <w:pPr>
        <w:spacing w:line="274" w:lineRule="auto"/>
        <w:rPr>
          <w:rFonts w:ascii="Cambria" w:eastAsia="Cambria" w:hAnsi="Cambria" w:cs="Cambria"/>
          <w:color w:val="2F5496"/>
          <w:sz w:val="22"/>
          <w:szCs w:val="22"/>
        </w:rPr>
      </w:pPr>
    </w:p>
    <w:p w14:paraId="73D1F0EA"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Tieteellinen tieto on puolestaan yleensä objektiivista, kriittistä, analyyttistä, julkista, itseään korjaavaa, eettistä ja vertaisarvioitua. Tutkimukset, joilla tieto on hankittu, ovat yleensä toistettavissa. Tieteellisen tiedon hankkiminen on pitkäjänteistä, suunnitelmallista ja järjestelmällistä.</w:t>
      </w:r>
    </w:p>
    <w:p w14:paraId="58143153" w14:textId="77777777" w:rsidR="001808CA" w:rsidRDefault="001808CA" w:rsidP="001808CA">
      <w:pPr>
        <w:spacing w:after="240" w:line="274" w:lineRule="auto"/>
        <w:rPr>
          <w:rFonts w:ascii="Cambria" w:eastAsia="Cambria" w:hAnsi="Cambria" w:cs="Cambria"/>
          <w:sz w:val="22"/>
          <w:szCs w:val="22"/>
        </w:rPr>
      </w:pPr>
    </w:p>
    <w:p w14:paraId="19B521C9" w14:textId="77777777" w:rsidR="001808CA" w:rsidRDefault="001808CA" w:rsidP="001808CA">
      <w:pPr>
        <w:spacing w:line="274" w:lineRule="auto"/>
        <w:rPr>
          <w:rFonts w:ascii="Cambria" w:eastAsia="Cambria" w:hAnsi="Cambria" w:cs="Cambria"/>
          <w:b/>
          <w:sz w:val="22"/>
          <w:szCs w:val="22"/>
        </w:rPr>
      </w:pPr>
      <w:r>
        <w:rPr>
          <w:rFonts w:ascii="Cambria" w:eastAsia="Cambria" w:hAnsi="Cambria" w:cs="Cambria"/>
          <w:b/>
          <w:sz w:val="22"/>
          <w:szCs w:val="22"/>
        </w:rPr>
        <w:t xml:space="preserve">2. Keksi esimerkkejä. </w:t>
      </w:r>
    </w:p>
    <w:p w14:paraId="54DDCD52"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Keksi kolme esimerkkiä arkisista tilanteista, joissa käytetään sekä arkitietoa että tieteellistä tietoa.</w:t>
      </w:r>
    </w:p>
    <w:p w14:paraId="5C1AB08F"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vastaus. </w:t>
      </w:r>
    </w:p>
    <w:p w14:paraId="06F43BC3" w14:textId="77777777" w:rsidR="001808CA" w:rsidRDefault="001808CA" w:rsidP="001808CA">
      <w:pPr>
        <w:spacing w:line="274" w:lineRule="auto"/>
        <w:rPr>
          <w:rFonts w:ascii="Cambria" w:eastAsia="Cambria" w:hAnsi="Cambria" w:cs="Cambria"/>
          <w:color w:val="2F5496"/>
          <w:sz w:val="22"/>
          <w:szCs w:val="22"/>
        </w:rPr>
      </w:pPr>
    </w:p>
    <w:p w14:paraId="62A56B33"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Esimerkkejä:</w:t>
      </w:r>
    </w:p>
    <w:p w14:paraId="7F0E68AD"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Ruokaostoksia tehdessä mielessä on ravintosuositukset, jotka pohjautuvat tieteelliseen tietoon, sekä oma kokemuksen kautta saatu arkitieto ruoka-aineista, joita pitää itselleen parhaina. </w:t>
      </w:r>
    </w:p>
    <w:p w14:paraId="66D2BD4A" w14:textId="77777777" w:rsidR="001808CA" w:rsidRDefault="001808CA" w:rsidP="001808CA">
      <w:pPr>
        <w:spacing w:line="274" w:lineRule="auto"/>
        <w:rPr>
          <w:rFonts w:ascii="Cambria" w:eastAsia="Cambria" w:hAnsi="Cambria" w:cs="Cambria"/>
          <w:color w:val="2F5496"/>
          <w:sz w:val="22"/>
          <w:szCs w:val="22"/>
        </w:rPr>
      </w:pPr>
    </w:p>
    <w:p w14:paraId="3DB4B73E"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Yleisesti tiedetään, että antibiootit eivät tehoa virustauteihin. Kuitenkin antibioottia saatetaan pyytää lääkäriltä, vaikka tietää sairastavansa virustautia, koska joku tuttu on kertonut antibiootin auttaneen samanlaisiin oireisiin.</w:t>
      </w:r>
    </w:p>
    <w:p w14:paraId="58E6ACEC" w14:textId="77777777" w:rsidR="001808CA" w:rsidRDefault="001808CA" w:rsidP="001808CA">
      <w:pPr>
        <w:spacing w:line="274" w:lineRule="auto"/>
        <w:rPr>
          <w:rFonts w:ascii="Cambria" w:eastAsia="Cambria" w:hAnsi="Cambria" w:cs="Cambria"/>
          <w:color w:val="2F5496"/>
          <w:sz w:val="22"/>
          <w:szCs w:val="22"/>
        </w:rPr>
      </w:pPr>
    </w:p>
    <w:p w14:paraId="2484CD0D"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Kännyköiden ei ole tieteellisesti todistettu aiheuttavan syöpää. Kuitenkin siitä on keskusteltu paljon julkisesti eri medioissa, joten monet ovat alkaneet käyttää handsfree-laitetta tai lopettaneet kännykän pitämisen sängyn vieressä yöllä tämän keskustelun herättämän epäilyn takia, vaikka eivät välttämättä usko kännyköiden aiheuttavan syöpää.</w:t>
      </w:r>
    </w:p>
    <w:p w14:paraId="15BB341B" w14:textId="77777777" w:rsidR="001808CA" w:rsidRDefault="001808CA" w:rsidP="001808CA">
      <w:pPr>
        <w:spacing w:after="240" w:line="274" w:lineRule="auto"/>
        <w:rPr>
          <w:rFonts w:ascii="Cambria" w:eastAsia="Cambria" w:hAnsi="Cambria" w:cs="Cambria"/>
          <w:sz w:val="22"/>
          <w:szCs w:val="22"/>
        </w:rPr>
      </w:pPr>
    </w:p>
    <w:p w14:paraId="49CAB51E" w14:textId="77777777" w:rsidR="001808CA" w:rsidRDefault="001808CA" w:rsidP="001808CA">
      <w:pPr>
        <w:spacing w:after="160" w:line="274" w:lineRule="auto"/>
        <w:rPr>
          <w:rFonts w:ascii="Cambria" w:eastAsia="Cambria" w:hAnsi="Cambria" w:cs="Cambria"/>
          <w:b/>
          <w:sz w:val="22"/>
          <w:szCs w:val="22"/>
        </w:rPr>
      </w:pPr>
      <w:bookmarkStart w:id="0" w:name="_heading=h.gjdgxs" w:colFirst="0" w:colLast="0"/>
      <w:bookmarkEnd w:id="0"/>
      <w:r>
        <w:br w:type="page"/>
      </w:r>
    </w:p>
    <w:p w14:paraId="00931A6A" w14:textId="77777777" w:rsidR="001808CA" w:rsidRDefault="001808CA" w:rsidP="001808CA">
      <w:pPr>
        <w:spacing w:after="160" w:line="274" w:lineRule="auto"/>
        <w:rPr>
          <w:rFonts w:ascii="Cambria" w:eastAsia="Cambria" w:hAnsi="Cambria" w:cs="Cambria"/>
          <w:b/>
          <w:sz w:val="22"/>
          <w:szCs w:val="22"/>
        </w:rPr>
      </w:pPr>
      <w:bookmarkStart w:id="1" w:name="_heading=h.evkaco73byqx" w:colFirst="0" w:colLast="0"/>
      <w:bookmarkEnd w:id="1"/>
      <w:r>
        <w:rPr>
          <w:rFonts w:ascii="Cambria" w:eastAsia="Cambria" w:hAnsi="Cambria" w:cs="Cambria"/>
          <w:b/>
          <w:sz w:val="22"/>
          <w:szCs w:val="22"/>
        </w:rPr>
        <w:lastRenderedPageBreak/>
        <w:t>3. Pohdi vastaamista tutkimuksiin.</w:t>
      </w:r>
    </w:p>
    <w:p w14:paraId="2669182C"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 xml:space="preserve">a. Ihmiset saattavat vastata terveystottumuksia tutkittaessa sosiaalisesti hyväksytyllä tavalla. Anna esimerkkejä elintavoista, joihin voidaan vastata vähätellen tai liioitellen. Perustele vastauksesi. </w:t>
      </w:r>
    </w:p>
    <w:p w14:paraId="28D1044A" w14:textId="77777777" w:rsidR="001808CA" w:rsidRDefault="001808CA" w:rsidP="001808CA">
      <w:pPr>
        <w:spacing w:after="16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Terveydelle haitallisia elintapoja saatetaan vähätellä ja toisaalta terveyttä edistäviä elintapoja voidaan liioitella. Ihmiset voivat vähätellä esimerkiksi napostelua, tupakan ja päihteiden käyttöä tai stressin määrää ja liioitella unen pituutta, liikunnan määrää tai hedelmien ja kasvisten syömistä. </w:t>
      </w:r>
    </w:p>
    <w:p w14:paraId="759E419D" w14:textId="77777777" w:rsidR="001808CA" w:rsidRDefault="001808CA" w:rsidP="001808CA">
      <w:pPr>
        <w:spacing w:after="160" w:line="274" w:lineRule="auto"/>
        <w:rPr>
          <w:rFonts w:ascii="Cambria" w:eastAsia="Cambria" w:hAnsi="Cambria" w:cs="Cambria"/>
          <w:color w:val="2F5496"/>
          <w:sz w:val="22"/>
          <w:szCs w:val="22"/>
        </w:rPr>
      </w:pPr>
      <w:r>
        <w:rPr>
          <w:rFonts w:ascii="Cambria" w:eastAsia="Cambria" w:hAnsi="Cambria" w:cs="Cambria"/>
          <w:color w:val="2F5496"/>
          <w:sz w:val="22"/>
          <w:szCs w:val="22"/>
        </w:rPr>
        <w:t>Vastauksiin vaikuttavat monet eri tekijät. Liioittelua tai vähättelyä esiintyy esimerkiksi siksi, että tutkittava haluaa antaa myönteisen kuvan itsestään. Ihmisen mielikuvat vallitsevien normien mukaisesta tai oikeanlaisesta elämästä ohjaavat ajattelua, havaintojen tekoa ja vastaamista. Vähättely tai liioittelu ei aina ole tietoista: ihminen saattaa vastata aivan rehellisesti, mutta havainnot arjen tottumuksista eivät ole täsmällisiä. Hän voi esimerkiksi kertoa, että syö herkkuja vain silloin tällöin, mutta ruokapäiväkirjan pitäminen saattaa osoittaa, että napostelu onkin lähes päivittäistä.</w:t>
      </w:r>
    </w:p>
    <w:p w14:paraId="53482B78"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b. Pohdi, miksi on tärkeää vastata totuudenmukaisesti.</w:t>
      </w:r>
    </w:p>
    <w:p w14:paraId="12B86D65"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Tutkimuksissa on tarkoitus selvittää esimerkiksi, miten yleisiä tietyt asiat ovat väestötasolla tai mitkä asiat ovat yhteydessä toisiinsa, joten totuudenmukaisesti vastaaminen antaa tarkemman kuvan näistä asioista, ja sitä todennäköisemmin tutkijat päätyvät oikeaan ja varmempaan tietoon. </w:t>
      </w:r>
    </w:p>
    <w:p w14:paraId="48496427" w14:textId="77777777" w:rsidR="001808CA" w:rsidRDefault="001808CA" w:rsidP="001808CA">
      <w:pPr>
        <w:spacing w:line="274" w:lineRule="auto"/>
        <w:rPr>
          <w:rFonts w:ascii="Cambria" w:eastAsia="Cambria" w:hAnsi="Cambria" w:cs="Cambria"/>
          <w:sz w:val="22"/>
          <w:szCs w:val="22"/>
        </w:rPr>
      </w:pPr>
    </w:p>
    <w:p w14:paraId="4294094E" w14:textId="77777777" w:rsidR="001808CA" w:rsidRDefault="001808CA" w:rsidP="001808CA">
      <w:pPr>
        <w:spacing w:after="240" w:line="274" w:lineRule="auto"/>
        <w:rPr>
          <w:rFonts w:ascii="Cambria" w:eastAsia="Cambria" w:hAnsi="Cambria" w:cs="Cambria"/>
          <w:b/>
          <w:sz w:val="22"/>
          <w:szCs w:val="22"/>
        </w:rPr>
      </w:pPr>
      <w:r>
        <w:rPr>
          <w:rFonts w:ascii="Cambria" w:eastAsia="Cambria" w:hAnsi="Cambria" w:cs="Cambria"/>
          <w:b/>
          <w:sz w:val="22"/>
          <w:szCs w:val="22"/>
        </w:rPr>
        <w:t>4. Etsi tietoa Käypä hoito -suosituksista.</w:t>
      </w:r>
    </w:p>
    <w:p w14:paraId="4435C6B5" w14:textId="77777777" w:rsidR="001808CA" w:rsidRDefault="001808CA" w:rsidP="001808CA">
      <w:pPr>
        <w:spacing w:after="240" w:line="274" w:lineRule="auto"/>
        <w:rPr>
          <w:rFonts w:ascii="Cambria" w:eastAsia="Cambria" w:hAnsi="Cambria" w:cs="Cambria"/>
          <w:sz w:val="22"/>
          <w:szCs w:val="22"/>
        </w:rPr>
      </w:pPr>
      <w:r>
        <w:rPr>
          <w:rFonts w:ascii="Cambria" w:eastAsia="Cambria" w:hAnsi="Cambria" w:cs="Cambria"/>
          <w:sz w:val="22"/>
          <w:szCs w:val="22"/>
        </w:rPr>
        <w:t>a. Selvitä, mitä Käypä hoito -suositukset ovat ja mihin niitä käytetään.</w:t>
      </w:r>
    </w:p>
    <w:p w14:paraId="5E14F1A2"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Käypä Hoito -suosituksista löytyy tietoa: </w:t>
      </w:r>
      <w:hyperlink r:id="rId7">
        <w:r>
          <w:rPr>
            <w:rFonts w:ascii="Cambria" w:eastAsia="Cambria" w:hAnsi="Cambria" w:cs="Cambria"/>
            <w:color w:val="2F5496"/>
            <w:sz w:val="22"/>
            <w:szCs w:val="22"/>
            <w:u w:val="single"/>
          </w:rPr>
          <w:t>https://www.kaypahoito.fi/</w:t>
        </w:r>
      </w:hyperlink>
    </w:p>
    <w:p w14:paraId="6486B28F"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Käypä hoito -suositukset ovat kansallisia hoitosuosituksia, joita laaditaan lääkäreille, terveydenhuollon ammattihenkilöstölle ja kansalaisille hoitopäätösten pohjaksi ja potilaan parhaaksi. Ne ovat riippumattomia ja perustuvat tutkimusnäyttöön. Lääkärit voivat käyttää hoitosuosituksia tukena käytännön työssään. Ne toimivat myös perustana laadittaessa alueellisia hoito-ohjelmia. Hoitosuositukset voivat sisältää perusteltuja kannanottoja myös sellaisista merkittävistä terveydenhuollon kysymyksistä, joista ei ole tieteellistä näyttöä tai joista sitä ei ole saatavissa. Hoitosuositusten avulla voidaan parantaa hoidon laatua sekä yhdenmukaistaa hoitokäytäntöjä.</w:t>
      </w:r>
    </w:p>
    <w:p w14:paraId="1E7D0892" w14:textId="77777777" w:rsidR="001808CA" w:rsidRDefault="001808CA" w:rsidP="001808CA">
      <w:pPr>
        <w:spacing w:after="240" w:line="274" w:lineRule="auto"/>
        <w:rPr>
          <w:rFonts w:ascii="Cambria" w:eastAsia="Cambria" w:hAnsi="Cambria" w:cs="Cambria"/>
          <w:sz w:val="22"/>
          <w:szCs w:val="22"/>
        </w:rPr>
      </w:pPr>
      <w:r>
        <w:rPr>
          <w:rFonts w:ascii="Cambria" w:eastAsia="Cambria" w:hAnsi="Cambria" w:cs="Cambria"/>
          <w:sz w:val="22"/>
          <w:szCs w:val="22"/>
        </w:rPr>
        <w:t>b. Kuka tai mikä taho tekee Käypä hoito -suositukset? Miten ne tehdään?</w:t>
      </w:r>
    </w:p>
    <w:p w14:paraId="3DBE7CBD"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Suosituksia laatii Suomalainen Lääkäriseura Duodecim. Erikoislääkäriyhdistykset ovat myös mukana suositusten laatimisessa. Suositusten tuottamisesta vastaavat julkisella rahoituksella toimivat asiantuntijatyöryhmä ja Käypä hoito -toimitus. </w:t>
      </w:r>
    </w:p>
    <w:p w14:paraId="4FC4453D"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Duodecimin verkostovaliokunta valitsee suositusaiheet suurimmaksi osaksi erikoislääkäriyhdistysten ehdotusten joukosta. Suositustyön alussa kirjastoalan ammattilainen, joka on erikoistunut lääketieteeseen, toteuttaa systemaattisen kirjallisuushaun. Käypä hoito -työryhmät laativat suosituksia yhdessä menetelmäasiantuntijoina toimivien toimittajien kanssa.  Työryhmiin kuuluu noin 1 400 vapaaehtoista terveydenhuollon huippuammattilaista eri erikoisaloilta ympäri Suomea. Suositus laaditaan tutkimusnäytön pohjalta. Tärkeimmät hoitosuosituksen kohdat perustellaan näytönastekatsauksien avulla. Suositus lähetetään vielä tässä vaiheessa lausuntokierrokselle </w:t>
      </w:r>
      <w:r>
        <w:rPr>
          <w:rFonts w:ascii="Cambria" w:eastAsia="Cambria" w:hAnsi="Cambria" w:cs="Cambria"/>
          <w:color w:val="2F5496"/>
          <w:sz w:val="22"/>
          <w:szCs w:val="22"/>
        </w:rPr>
        <w:lastRenderedPageBreak/>
        <w:t>sidosryhmille. Sen jälkeen lausunnot käsitellään, ja suositusta muokataan sekä täsmennetään tarvittaessa. Suositusten käyttöönoton avuksi laaditaan erilaisia tiivistelmiä, potilasversioita ja luentomateriaaleja. Suosituksiin tulevista päivityksistä tiedotetaan asianmukaisesti.</w:t>
      </w:r>
    </w:p>
    <w:p w14:paraId="37A10230" w14:textId="77777777" w:rsidR="001808CA" w:rsidRDefault="001808CA" w:rsidP="001808CA">
      <w:pPr>
        <w:spacing w:after="240" w:line="274" w:lineRule="auto"/>
        <w:rPr>
          <w:rFonts w:ascii="Cambria" w:eastAsia="Cambria" w:hAnsi="Cambria" w:cs="Cambria"/>
          <w:sz w:val="22"/>
          <w:szCs w:val="22"/>
        </w:rPr>
      </w:pPr>
      <w:r>
        <w:rPr>
          <w:rFonts w:ascii="Cambria" w:eastAsia="Cambria" w:hAnsi="Cambria" w:cs="Cambria"/>
          <w:sz w:val="22"/>
          <w:szCs w:val="22"/>
        </w:rPr>
        <w:t>c. Selvitä, mitä ovat näytön asteen luokitukset Käypä hoito -suosituksissa.</w:t>
      </w:r>
    </w:p>
    <w:p w14:paraId="36DDBACA"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Tieto löytyy sivulta: </w:t>
      </w:r>
      <w:hyperlink r:id="rId8">
        <w:r>
          <w:rPr>
            <w:rFonts w:ascii="Cambria" w:eastAsia="Cambria" w:hAnsi="Cambria" w:cs="Cambria"/>
            <w:color w:val="2F5496"/>
            <w:sz w:val="22"/>
            <w:szCs w:val="22"/>
            <w:u w:val="single"/>
          </w:rPr>
          <w:t>https://www.kaypahoito.fi/nix02087</w:t>
        </w:r>
      </w:hyperlink>
      <w:r>
        <w:rPr>
          <w:rFonts w:ascii="Cambria" w:eastAsia="Cambria" w:hAnsi="Cambria" w:cs="Cambria"/>
          <w:color w:val="2F5496"/>
          <w:sz w:val="22"/>
          <w:szCs w:val="22"/>
        </w:rPr>
        <w:t xml:space="preserve"> </w:t>
      </w:r>
    </w:p>
    <w:p w14:paraId="73539891"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A tarkoittaa vahvaa tutkimusnäyttöä eli aiheesta on useita menetelmällisesti tasokkaita tutkimuksia, joiden tulokset ovat samansuuntaisia.</w:t>
      </w:r>
    </w:p>
    <w:p w14:paraId="6910F3ED"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B tarkoittaa kohtalaista tutkimusnäyttöä eli aiheesta on ainakin yksi menetelmällisesti tasokas tutkimus tai useita kelvollisia tutkimuksia.</w:t>
      </w:r>
    </w:p>
    <w:p w14:paraId="4A6AB1AD"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C tarkoittaa niukkaa tutkimusnäyttöä eli aiheesta on ainakin yksi kelvollinen tieteellinen tutkimus.</w:t>
      </w:r>
    </w:p>
    <w:p w14:paraId="7A2F06DF"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D tarkoittaa, että aiheesta ei ole tutkimusnäyttöä eli suositus on asiantuntijoiden tulkinta (paras arvio) tiedosta, joka ei täytä tieteelliseen tutkimukseen perustuvan näytön vaatimuksia.</w:t>
      </w:r>
    </w:p>
    <w:p w14:paraId="79278EB9" w14:textId="77777777" w:rsidR="001808CA" w:rsidRDefault="001808CA" w:rsidP="001808CA">
      <w:pPr>
        <w:spacing w:line="274" w:lineRule="auto"/>
        <w:rPr>
          <w:rFonts w:ascii="Cambria" w:eastAsia="Cambria" w:hAnsi="Cambria" w:cs="Cambria"/>
          <w:color w:val="0070C0"/>
          <w:sz w:val="22"/>
          <w:szCs w:val="22"/>
        </w:rPr>
      </w:pPr>
    </w:p>
    <w:p w14:paraId="7D9B36D4" w14:textId="77777777" w:rsidR="001808CA" w:rsidRDefault="001808CA" w:rsidP="001808CA">
      <w:pPr>
        <w:spacing w:line="274" w:lineRule="auto"/>
        <w:rPr>
          <w:rFonts w:ascii="Cambria" w:eastAsia="Cambria" w:hAnsi="Cambria" w:cs="Cambria"/>
          <w:color w:val="0070C0"/>
          <w:sz w:val="22"/>
          <w:szCs w:val="22"/>
        </w:rPr>
      </w:pPr>
    </w:p>
    <w:p w14:paraId="46936B4F" w14:textId="77777777" w:rsidR="001808CA" w:rsidRDefault="001808CA" w:rsidP="001808CA">
      <w:pPr>
        <w:spacing w:after="160" w:line="274" w:lineRule="auto"/>
        <w:rPr>
          <w:rFonts w:ascii="Cambria" w:eastAsia="Cambria" w:hAnsi="Cambria" w:cs="Cambria"/>
          <w:b/>
          <w:sz w:val="22"/>
          <w:szCs w:val="22"/>
        </w:rPr>
      </w:pPr>
      <w:bookmarkStart w:id="2" w:name="_heading=h.30j0zll" w:colFirst="0" w:colLast="0"/>
      <w:bookmarkEnd w:id="2"/>
      <w:r>
        <w:rPr>
          <w:rFonts w:ascii="Cambria" w:eastAsia="Cambria" w:hAnsi="Cambria" w:cs="Cambria"/>
          <w:b/>
          <w:sz w:val="22"/>
          <w:szCs w:val="22"/>
        </w:rPr>
        <w:t>5. Tee tiedonhaku.</w:t>
      </w:r>
      <w:r>
        <w:rPr>
          <w:rFonts w:ascii="Cambria" w:eastAsia="Cambria" w:hAnsi="Cambria" w:cs="Cambria"/>
          <w:b/>
          <w:sz w:val="22"/>
          <w:szCs w:val="22"/>
        </w:rPr>
        <w:br/>
      </w:r>
      <w:r>
        <w:rPr>
          <w:rFonts w:ascii="Cambria" w:eastAsia="Cambria" w:hAnsi="Cambria" w:cs="Cambria"/>
          <w:sz w:val="22"/>
          <w:szCs w:val="22"/>
        </w:rPr>
        <w:t>a. Mieti terveyteen liittyvä aihe, josta haluaisit lisää tietoa.</w:t>
      </w:r>
      <w:r>
        <w:rPr>
          <w:rFonts w:ascii="Cambria" w:eastAsia="Cambria" w:hAnsi="Cambria" w:cs="Cambria"/>
          <w:b/>
          <w:sz w:val="22"/>
          <w:szCs w:val="22"/>
        </w:rPr>
        <w:t xml:space="preserve"> </w:t>
      </w:r>
    </w:p>
    <w:p w14:paraId="20889F20" w14:textId="77777777" w:rsidR="001808CA" w:rsidRDefault="001808CA" w:rsidP="001808CA">
      <w:pPr>
        <w:spacing w:after="160" w:line="274" w:lineRule="auto"/>
        <w:rPr>
          <w:rFonts w:ascii="Cambria" w:eastAsia="Cambria" w:hAnsi="Cambria" w:cs="Cambria"/>
          <w:color w:val="2F5496"/>
          <w:sz w:val="22"/>
          <w:szCs w:val="22"/>
        </w:rPr>
      </w:pPr>
      <w:bookmarkStart w:id="3" w:name="_heading=h.1fob9te" w:colFirst="0" w:colLast="0"/>
      <w:bookmarkEnd w:id="3"/>
      <w:r>
        <w:rPr>
          <w:rFonts w:ascii="Cambria" w:eastAsia="Cambria" w:hAnsi="Cambria" w:cs="Cambria"/>
          <w:color w:val="2F5496"/>
          <w:sz w:val="22"/>
          <w:szCs w:val="22"/>
        </w:rPr>
        <w:t>Opiskelijan oma vastaus.</w:t>
      </w:r>
    </w:p>
    <w:p w14:paraId="344D57E8"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b. Toteuta tiedonhaku vaiheittain ja tee muistiinpanoja jokaisesta vaiheesta.</w:t>
      </w:r>
    </w:p>
    <w:p w14:paraId="16322B7C"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vastaus. </w:t>
      </w:r>
    </w:p>
    <w:p w14:paraId="1DBB0379" w14:textId="77777777" w:rsidR="001808CA" w:rsidRDefault="001808CA" w:rsidP="001808CA">
      <w:pPr>
        <w:spacing w:line="274" w:lineRule="auto"/>
        <w:rPr>
          <w:rFonts w:ascii="Cambria" w:eastAsia="Cambria" w:hAnsi="Cambria" w:cs="Cambria"/>
          <w:color w:val="2F5496"/>
          <w:sz w:val="22"/>
          <w:szCs w:val="22"/>
        </w:rPr>
      </w:pPr>
    </w:p>
    <w:p w14:paraId="2A81011D"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Tiedonhaun vaiheet: </w:t>
      </w:r>
    </w:p>
    <w:p w14:paraId="32148C4E"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1. Ennakkotietojen kartoittaminen</w:t>
      </w:r>
    </w:p>
    <w:p w14:paraId="59574CD9"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2. Aiheen rajaaminen</w:t>
      </w:r>
    </w:p>
    <w:p w14:paraId="052C09BC"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3. Kysymyksen asettaminen</w:t>
      </w:r>
    </w:p>
    <w:p w14:paraId="057E302A"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4. Hakusanojen muotoilu</w:t>
      </w:r>
    </w:p>
    <w:p w14:paraId="550A7DF1"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5. Tiedonhaun toteutus</w:t>
      </w:r>
    </w:p>
    <w:p w14:paraId="0E8E79B8"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6. Löydetyn aineiston läpikäynti ja arviointi</w:t>
      </w:r>
    </w:p>
    <w:p w14:paraId="0AE0424B"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7. Hyvien lähteiden kirjaaminen ylös</w:t>
      </w:r>
    </w:p>
    <w:p w14:paraId="585BDE6F"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8. Ennakkotietojen vertaaminen löydettyyn tietoon</w:t>
      </w:r>
    </w:p>
    <w:p w14:paraId="57712216"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(9. Löydetyn tiedon käyttö)</w:t>
      </w:r>
    </w:p>
    <w:p w14:paraId="2A359710" w14:textId="77777777" w:rsidR="001808CA" w:rsidRDefault="001808CA" w:rsidP="001808CA">
      <w:pPr>
        <w:spacing w:line="274" w:lineRule="auto"/>
        <w:rPr>
          <w:rFonts w:ascii="Cambria" w:eastAsia="Cambria" w:hAnsi="Cambria" w:cs="Cambria"/>
          <w:color w:val="0070C0"/>
          <w:sz w:val="22"/>
          <w:szCs w:val="22"/>
        </w:rPr>
      </w:pPr>
    </w:p>
    <w:p w14:paraId="64F0F7F5"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 xml:space="preserve">c. Esittele parillesi tai pienryhmällesi aiheesi ja löytämäsi aineisto. </w:t>
      </w:r>
    </w:p>
    <w:p w14:paraId="0B656639" w14:textId="77777777" w:rsidR="001808CA" w:rsidRDefault="001808CA" w:rsidP="001808CA">
      <w:pPr>
        <w:spacing w:line="274" w:lineRule="auto"/>
        <w:rPr>
          <w:rFonts w:ascii="Cambria" w:eastAsia="Cambria" w:hAnsi="Cambria" w:cs="Cambria"/>
          <w:color w:val="2F5496"/>
          <w:sz w:val="22"/>
          <w:szCs w:val="22"/>
        </w:rPr>
      </w:pPr>
      <w:r>
        <w:rPr>
          <w:rFonts w:ascii="Cambria" w:eastAsia="Cambria" w:hAnsi="Cambria" w:cs="Cambria"/>
          <w:color w:val="2F5496"/>
          <w:sz w:val="22"/>
          <w:szCs w:val="22"/>
        </w:rPr>
        <w:t>Opiskelijan oma vastaus.</w:t>
      </w:r>
    </w:p>
    <w:p w14:paraId="4C0F419E" w14:textId="77777777" w:rsidR="001808CA" w:rsidRDefault="001808CA" w:rsidP="001808CA">
      <w:pPr>
        <w:spacing w:after="160" w:line="274" w:lineRule="auto"/>
        <w:rPr>
          <w:rFonts w:ascii="Cambria" w:eastAsia="Cambria" w:hAnsi="Cambria" w:cs="Cambria"/>
          <w:sz w:val="22"/>
          <w:szCs w:val="22"/>
        </w:rPr>
      </w:pPr>
    </w:p>
    <w:p w14:paraId="00552AFC" w14:textId="77777777" w:rsidR="001808CA" w:rsidRDefault="001808CA" w:rsidP="001808CA">
      <w:pPr>
        <w:spacing w:line="274" w:lineRule="auto"/>
        <w:rPr>
          <w:rFonts w:ascii="Cambria" w:eastAsia="Cambria" w:hAnsi="Cambria" w:cs="Cambria"/>
          <w:b/>
          <w:sz w:val="22"/>
          <w:szCs w:val="22"/>
        </w:rPr>
      </w:pPr>
      <w:r>
        <w:br w:type="page"/>
      </w:r>
    </w:p>
    <w:p w14:paraId="5E5EBE31" w14:textId="77777777" w:rsidR="001808CA" w:rsidRDefault="001808CA" w:rsidP="001808CA">
      <w:pPr>
        <w:spacing w:line="274" w:lineRule="auto"/>
        <w:rPr>
          <w:rFonts w:ascii="Cambria" w:eastAsia="Cambria" w:hAnsi="Cambria" w:cs="Cambria"/>
          <w:b/>
          <w:sz w:val="22"/>
          <w:szCs w:val="22"/>
        </w:rPr>
      </w:pPr>
      <w:r>
        <w:rPr>
          <w:rFonts w:ascii="Cambria" w:eastAsia="Cambria" w:hAnsi="Cambria" w:cs="Cambria"/>
          <w:b/>
          <w:sz w:val="22"/>
          <w:szCs w:val="22"/>
        </w:rPr>
        <w:lastRenderedPageBreak/>
        <w:t>6. Pohdi rahoittajan vaikutusta tutkimustuloksiin.</w:t>
      </w:r>
    </w:p>
    <w:p w14:paraId="73B343ED"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Teollisuus, kuten tupakka- ja lääkeyhtiöt, rahoittaa paljon tutkimusta. Pohdi, miten rahoittaja voi vaikuttaa tutkimusaiheiden valintaan, tutkimustuloksiin ja niiden esittämiseen.</w:t>
      </w:r>
    </w:p>
    <w:p w14:paraId="3F41D96D" w14:textId="77777777" w:rsidR="001808CA" w:rsidRDefault="001808CA" w:rsidP="001808CA">
      <w:pPr>
        <w:spacing w:after="16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Vaikka tutkimuksen rahoittajataho ei saisi vaikuttaa tutkimustuloksien esittämiseen, se voi vaikuttaa siihen useammalla tavalla. Jos tutkimustulokset ovat rahoittajataholle haitallisia, esimerkiksi tuotteella on haitallisia vaikutuksia käyttäjiin, rahoittajataho voi haluta pimittää tulokset eli niitä ei esitetä ollenkaan. Toinen vaihtoehto on, että tuloksia ”kaunistellaan” vähemmän haitallisiksi esimerkiksi valitsemalla vain osa koehenkilöistä mukaan analyyseihin. </w:t>
      </w:r>
    </w:p>
    <w:p w14:paraId="5C3F0E07" w14:textId="77777777" w:rsidR="001808CA" w:rsidRDefault="001808CA" w:rsidP="001808CA">
      <w:pPr>
        <w:spacing w:after="160" w:line="274" w:lineRule="auto"/>
        <w:rPr>
          <w:rFonts w:ascii="Cambria" w:eastAsia="Cambria" w:hAnsi="Cambria" w:cs="Cambria"/>
          <w:color w:val="2F5496"/>
          <w:sz w:val="22"/>
          <w:szCs w:val="22"/>
        </w:rPr>
      </w:pPr>
      <w:r>
        <w:rPr>
          <w:rFonts w:ascii="Cambria" w:eastAsia="Cambria" w:hAnsi="Cambria" w:cs="Cambria"/>
          <w:color w:val="2F5496"/>
          <w:sz w:val="22"/>
          <w:szCs w:val="22"/>
        </w:rPr>
        <w:t>Myös rahoittajatahon kannalta hyviä tutkimustuloksia saatetaan vielä liioitella tai esittää ne parhaassa mahdollisessa muodossa, esimerkiksi suhdelukuna eikä absoluuttisena lukuna. Rahoittajataho voi myös haluta, että tutkimuksen toteutuksen kaikkia vaiheita ja ratkaisuja ei kuvata selkeästi raportissa, jos niistä voisi tulla kritiikkiä. Siinä on kuitenkin se riski, että raporttia ei julkaistakaan. Rahoittajatahon mahdollisten intressien takia tutkijoiden täytyy ilmoittaa tutkimusraporteissa rahoittajat, jotta lukijat tietävät niistä ja voivat itse päätellä heidän mahdollisen vaikutuksensa tuloksiin.</w:t>
      </w:r>
    </w:p>
    <w:p w14:paraId="7A09FDCD" w14:textId="77777777" w:rsidR="001808CA" w:rsidRDefault="001808CA" w:rsidP="001808CA">
      <w:pPr>
        <w:spacing w:after="160" w:line="274" w:lineRule="auto"/>
        <w:rPr>
          <w:rFonts w:ascii="Cambria" w:eastAsia="Cambria" w:hAnsi="Cambria" w:cs="Cambria"/>
          <w:color w:val="2F5496"/>
          <w:sz w:val="22"/>
          <w:szCs w:val="22"/>
        </w:rPr>
      </w:pPr>
      <w:r>
        <w:rPr>
          <w:rFonts w:ascii="Cambria" w:eastAsia="Cambria" w:hAnsi="Cambria" w:cs="Cambria"/>
          <w:color w:val="2F5496"/>
          <w:sz w:val="22"/>
          <w:szCs w:val="22"/>
        </w:rPr>
        <w:t xml:space="preserve">Rahoittajatahot eivät myöskään välttämättä halua tukea tutkimusta, jonka tuloksen he uskovat olevan itselleen haitallinen, ja haluavat tukea aiheita, joiden uskovat tuovan heille itselleen myönteistä julkisuutta. Siksi joihinkin aiheisiin voi olla helpompi löytää kaupallisen tahon rahoitusta kuin toisiin aiheisiin, mikä voi joskus rajoittaa sitä, mitä aiheita ylipäätään ryhdytään tutkimaan. </w:t>
      </w:r>
    </w:p>
    <w:p w14:paraId="6C5AAAD0" w14:textId="77777777" w:rsidR="001808CA" w:rsidRDefault="001808CA" w:rsidP="001808CA">
      <w:pPr>
        <w:spacing w:after="160" w:line="274" w:lineRule="auto"/>
        <w:rPr>
          <w:rFonts w:ascii="Cambria" w:eastAsia="Cambria" w:hAnsi="Cambria" w:cs="Cambria"/>
          <w:sz w:val="22"/>
          <w:szCs w:val="22"/>
        </w:rPr>
      </w:pPr>
    </w:p>
    <w:p w14:paraId="6D57EBD0" w14:textId="77777777" w:rsidR="001808CA" w:rsidRDefault="001808CA" w:rsidP="001808CA">
      <w:pPr>
        <w:spacing w:after="160" w:line="274" w:lineRule="auto"/>
        <w:rPr>
          <w:rFonts w:ascii="Cambria" w:eastAsia="Cambria" w:hAnsi="Cambria" w:cs="Cambria"/>
          <w:b/>
          <w:sz w:val="22"/>
          <w:szCs w:val="22"/>
        </w:rPr>
      </w:pPr>
      <w:r>
        <w:rPr>
          <w:rFonts w:ascii="Cambria" w:eastAsia="Cambria" w:hAnsi="Cambria" w:cs="Cambria"/>
          <w:b/>
          <w:sz w:val="22"/>
          <w:szCs w:val="22"/>
        </w:rPr>
        <w:t>7. Tutki oheista aineistoa tutkittavan kohtelusta ja oikeuksista.</w:t>
      </w:r>
    </w:p>
    <w:p w14:paraId="60FE8D50"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 xml:space="preserve">a. Miksi on tärkeää, että on olemassa ohjeet tutkittavien kohteluun? </w:t>
      </w:r>
    </w:p>
    <w:p w14:paraId="20800E8E" w14:textId="77777777" w:rsidR="001808CA" w:rsidRDefault="001808CA" w:rsidP="001808CA">
      <w:pPr>
        <w:spacing w:after="160" w:line="274" w:lineRule="auto"/>
        <w:rPr>
          <w:rFonts w:ascii="Cambria" w:eastAsia="Cambria" w:hAnsi="Cambria" w:cs="Cambria"/>
          <w:color w:val="2F5496"/>
          <w:sz w:val="22"/>
          <w:szCs w:val="22"/>
        </w:rPr>
      </w:pPr>
      <w:r>
        <w:rPr>
          <w:rFonts w:ascii="Cambria" w:eastAsia="Cambria" w:hAnsi="Cambria" w:cs="Cambria"/>
          <w:color w:val="2F5496"/>
          <w:sz w:val="22"/>
          <w:szCs w:val="22"/>
        </w:rPr>
        <w:t>Ihmiseen kohdistuvan tutkimuksen peruslähtökohta on, että tutkittavien henkilöiden luottamus tutkijoihin ja tieteeseen säilyy. Se säilyy vain, jos tutkimuksiin osallistuvien henkilöiden ihmisarvoa ja oikeuksia kunnioitetaan. Samat tutkimustilanteet tai -aiheet voivat herättää eri ihmisissä erilaisia reaktioita. Tutkimustilanteisiin voi ja saa kuitenkin sisältyä samankaltaista henkistä rasitusta ja tunteiden kokemista kuin arkipäivän tilanteisiin. Ohjeiden avulla varmistetaan, ettei tutkittavia ihmisiä vahingoiteta tutkimuksissa tai ettei heille koidu siitä haittaa.</w:t>
      </w:r>
    </w:p>
    <w:p w14:paraId="6BBB24EA" w14:textId="77777777" w:rsidR="001808CA" w:rsidRDefault="001808CA" w:rsidP="001808CA">
      <w:pPr>
        <w:spacing w:after="160" w:line="274" w:lineRule="auto"/>
        <w:rPr>
          <w:rFonts w:ascii="Cambria" w:eastAsia="Cambria" w:hAnsi="Cambria" w:cs="Cambria"/>
          <w:sz w:val="22"/>
          <w:szCs w:val="22"/>
        </w:rPr>
      </w:pPr>
      <w:r>
        <w:rPr>
          <w:rFonts w:ascii="Cambria" w:eastAsia="Cambria" w:hAnsi="Cambria" w:cs="Cambria"/>
          <w:sz w:val="22"/>
          <w:szCs w:val="22"/>
        </w:rPr>
        <w:t>b. Selvitä netistä, mitä tietoon perustuva suostumus tarkoittaa.</w:t>
      </w:r>
    </w:p>
    <w:p w14:paraId="05842238" w14:textId="77777777" w:rsidR="001808CA" w:rsidRDefault="001808CA" w:rsidP="001808CA">
      <w:pPr>
        <w:spacing w:after="240" w:line="274" w:lineRule="auto"/>
        <w:rPr>
          <w:rFonts w:ascii="Cambria" w:eastAsia="Cambria" w:hAnsi="Cambria" w:cs="Cambria"/>
          <w:color w:val="2F5496"/>
          <w:sz w:val="22"/>
          <w:szCs w:val="22"/>
        </w:rPr>
      </w:pPr>
      <w:r>
        <w:rPr>
          <w:rFonts w:ascii="Cambria" w:eastAsia="Cambria" w:hAnsi="Cambria" w:cs="Cambria"/>
          <w:color w:val="2F5496"/>
          <w:sz w:val="22"/>
          <w:szCs w:val="22"/>
        </w:rPr>
        <w:t>Tietoon perustuva suostumus on tutkimuksissa käytetty periaate, jonka mukaan ihmisiä ei saa ottaa tutkimuksiin ilman, että ihmiseltä on hankittu suostumus niin, että henkilö ymmärtää tutkimuksen merkityksen riskeineen. Tietoon perustuva suostumus tarkoittaa, että henkilö vapaasta tahdostaan vahvistaa halukkuutensa osallistua tiettyyn tutkimukseen sen jälkeen, kun hän on saanut riittävät tiedot kaikista osallistumispäätöksensä kannalta merkittävistä tutkimukseen liittyvistä seikoista.</w:t>
      </w:r>
    </w:p>
    <w:p w14:paraId="02DF91B8" w14:textId="77777777" w:rsidR="00DA3673" w:rsidRDefault="00DA3673" w:rsidP="001808CA">
      <w:pPr>
        <w:spacing w:line="274" w:lineRule="auto"/>
      </w:pPr>
    </w:p>
    <w:sectPr w:rsidR="00DA3673">
      <w:headerReference w:type="even" r:id="rId9"/>
      <w:headerReference w:type="default" r:id="rId10"/>
      <w:footerReference w:type="even" r:id="rId11"/>
      <w:footerReference w:type="default" r:id="rId12"/>
      <w:headerReference w:type="first" r:id="rId13"/>
      <w:footerReference w:type="first" r:id="rId14"/>
      <w:pgSz w:w="11900" w:h="16840"/>
      <w:pgMar w:top="1702" w:right="1134" w:bottom="1276"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9FA2" w14:textId="77777777" w:rsidR="00E45BDC" w:rsidRDefault="00E45BDC">
      <w:r>
        <w:separator/>
      </w:r>
    </w:p>
  </w:endnote>
  <w:endnote w:type="continuationSeparator" w:id="0">
    <w:p w14:paraId="32EF6B6D" w14:textId="77777777" w:rsidR="00E45BDC" w:rsidRDefault="00E4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0A0E" w14:textId="77777777" w:rsidR="00DA3673" w:rsidRDefault="00DA367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D888" w14:textId="77777777" w:rsidR="00DA3673" w:rsidRDefault="00E45BDC">
    <w:pPr>
      <w:pBdr>
        <w:top w:val="nil"/>
        <w:left w:val="nil"/>
        <w:bottom w:val="nil"/>
        <w:right w:val="nil"/>
        <w:between w:val="nil"/>
      </w:pBdr>
      <w:tabs>
        <w:tab w:val="center" w:pos="4819"/>
        <w:tab w:val="right" w:pos="9638"/>
      </w:tabs>
      <w:rPr>
        <w:color w:val="808080"/>
        <w:sz w:val="18"/>
        <w:szCs w:val="18"/>
      </w:rPr>
    </w:pPr>
    <w:r>
      <w:rPr>
        <w:color w:val="808080"/>
        <w:sz w:val="18"/>
        <w:szCs w:val="18"/>
      </w:rPr>
      <w:t xml:space="preserve">© Jaana Kinnunen, Tiina Lehtinen, Ismo Lehtinen, </w:t>
    </w:r>
  </w:p>
  <w:p w14:paraId="58D0C1DB" w14:textId="77777777" w:rsidR="00DA3673" w:rsidRDefault="00E45BDC">
    <w:pPr>
      <w:pBdr>
        <w:top w:val="nil"/>
        <w:left w:val="nil"/>
        <w:bottom w:val="nil"/>
        <w:right w:val="nil"/>
        <w:between w:val="nil"/>
      </w:pBdr>
      <w:tabs>
        <w:tab w:val="center" w:pos="4819"/>
        <w:tab w:val="right" w:pos="9638"/>
      </w:tabs>
      <w:rPr>
        <w:color w:val="808080"/>
        <w:sz w:val="18"/>
        <w:szCs w:val="18"/>
      </w:rPr>
    </w:pPr>
    <w:r>
      <w:rPr>
        <w:color w:val="8080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AB7E" w14:textId="77777777" w:rsidR="00DA3673" w:rsidRDefault="00DA367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62B2" w14:textId="77777777" w:rsidR="00E45BDC" w:rsidRDefault="00E45BDC">
      <w:r>
        <w:separator/>
      </w:r>
    </w:p>
  </w:footnote>
  <w:footnote w:type="continuationSeparator" w:id="0">
    <w:p w14:paraId="6370CAAC" w14:textId="77777777" w:rsidR="00E45BDC" w:rsidRDefault="00E4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1502" w14:textId="77777777" w:rsidR="00DA3673" w:rsidRDefault="00DA367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4E70" w14:textId="77777777" w:rsidR="00DA3673" w:rsidRDefault="00E45BD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63F98AE3" wp14:editId="77520B77">
          <wp:simplePos x="0" y="0"/>
          <wp:positionH relativeFrom="column">
            <wp:posOffset>5271770</wp:posOffset>
          </wp:positionH>
          <wp:positionV relativeFrom="paragraph">
            <wp:posOffset>-219074</wp:posOffset>
          </wp:positionV>
          <wp:extent cx="1288800" cy="5364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8800" cy="53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34C3" w14:textId="77777777" w:rsidR="00DA3673" w:rsidRDefault="00DA3673">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73"/>
    <w:rsid w:val="001808CA"/>
    <w:rsid w:val="00751E14"/>
    <w:rsid w:val="00DA3673"/>
    <w:rsid w:val="00E45B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E9E01E5"/>
  <w15:docId w15:val="{764CB61B-0B8F-AA4A-9B23-050B4CA8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aypahoito.fi/nix0208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kaypahoito.f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dUCqvCDtYK6MYDvg8Y/q5KuqPQ==">AMUW2mVsDo1vag3VYqu2n9tVKr16uBHR0z3P0MXEHLifhVTvCnYqF5VTZqehPwf7xO6tVpS9/4cOpyBfPBUzmRkaD4cI5aKuvrFO3QiuSVDfCK8psfqp+DiZLqaG3fJHRrrZNolUD9X05ZHUemRVBqSDGQZ00zpHMtz4xTS6O4S9nPsJRknWsU8=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8668</Characters>
  <Application>Microsoft Office Word</Application>
  <DocSecurity>0</DocSecurity>
  <Lines>72</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Väkelä</dc:creator>
  <cp:lastModifiedBy>Iiris Vaahtojärvi</cp:lastModifiedBy>
  <cp:revision>3</cp:revision>
  <dcterms:created xsi:type="dcterms:W3CDTF">2021-09-02T14:13:00Z</dcterms:created>
  <dcterms:modified xsi:type="dcterms:W3CDTF">2021-10-29T11:55:00Z</dcterms:modified>
</cp:coreProperties>
</file>