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67" w:rsidRPr="00B01314" w:rsidRDefault="00B0131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C6E53" wp14:editId="16413308">
                <wp:simplePos x="0" y="0"/>
                <wp:positionH relativeFrom="column">
                  <wp:posOffset>2413635</wp:posOffset>
                </wp:positionH>
                <wp:positionV relativeFrom="paragraph">
                  <wp:posOffset>147955</wp:posOffset>
                </wp:positionV>
                <wp:extent cx="3762375" cy="104775"/>
                <wp:effectExtent l="0" t="0" r="9525" b="952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70F" w:rsidRPr="009F770F" w:rsidRDefault="009F770F" w:rsidP="00B013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190.05pt;margin-top:11.65pt;width:296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" fillcolor="white [3201]" stroked="f" strokeweight=".5pt">
                <v:textbox>
                  <w:txbxContent>
                    <w:p w:rsidR="009F770F" w:rsidRPr="009F770F" w:rsidRDefault="009F770F" w:rsidP="00B0131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ulukkoRuudukko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E07BAB" w:rsidTr="00920377">
        <w:trPr>
          <w:trHeight w:val="1409"/>
        </w:trPr>
        <w:tc>
          <w:tcPr>
            <w:tcW w:w="2802" w:type="dxa"/>
          </w:tcPr>
          <w:p w:rsidR="00E07BAB" w:rsidRPr="00E07BAB" w:rsidRDefault="00E07BAB" w:rsidP="00E07BAB">
            <w:pPr>
              <w:rPr>
                <w:b/>
                <w:sz w:val="24"/>
                <w:szCs w:val="24"/>
              </w:rPr>
            </w:pPr>
            <w:r w:rsidRPr="00E07BAB">
              <w:rPr>
                <w:b/>
                <w:sz w:val="24"/>
                <w:szCs w:val="24"/>
              </w:rPr>
              <w:t>Koulun nimi</w:t>
            </w:r>
          </w:p>
        </w:tc>
        <w:tc>
          <w:tcPr>
            <w:tcW w:w="6976" w:type="dxa"/>
          </w:tcPr>
          <w:p w:rsidR="00E07BAB" w:rsidRDefault="00242CA6" w:rsidP="00E07BAB">
            <w:pPr>
              <w:rPr>
                <w:sz w:val="24"/>
                <w:szCs w:val="24"/>
              </w:rPr>
            </w:pPr>
            <w:r w:rsidRPr="000F77CC">
              <w:rPr>
                <w:sz w:val="28"/>
                <w:szCs w:val="28"/>
              </w:rPr>
              <w:t>Uotilan koulun tasa-</w:t>
            </w:r>
            <w:proofErr w:type="gramStart"/>
            <w:r w:rsidRPr="000F77CC">
              <w:rPr>
                <w:sz w:val="28"/>
                <w:szCs w:val="28"/>
              </w:rPr>
              <w:t>arvosuunnitelma</w:t>
            </w:r>
            <w:r>
              <w:rPr>
                <w:sz w:val="24"/>
                <w:szCs w:val="24"/>
              </w:rPr>
              <w:t xml:space="preserve">                              11</w:t>
            </w:r>
            <w:proofErr w:type="gramEnd"/>
            <w:r>
              <w:rPr>
                <w:sz w:val="24"/>
                <w:szCs w:val="24"/>
              </w:rPr>
              <w:t>/2016</w:t>
            </w:r>
          </w:p>
        </w:tc>
      </w:tr>
    </w:tbl>
    <w:p w:rsidR="00E07BAB" w:rsidRDefault="00E07BAB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E07BAB" w:rsidTr="00971389">
        <w:trPr>
          <w:trHeight w:val="1984"/>
        </w:trPr>
        <w:tc>
          <w:tcPr>
            <w:tcW w:w="2802" w:type="dxa"/>
          </w:tcPr>
          <w:p w:rsidR="00E07BAB" w:rsidRDefault="00E07BAB" w:rsidP="00045E12">
            <w:pPr>
              <w:rPr>
                <w:b/>
                <w:sz w:val="24"/>
                <w:szCs w:val="24"/>
              </w:rPr>
            </w:pPr>
            <w:r w:rsidRPr="00E07BAB">
              <w:rPr>
                <w:b/>
                <w:sz w:val="24"/>
                <w:szCs w:val="24"/>
              </w:rPr>
              <w:t>Tasa-arvotyön vastuuhenkilöt,</w:t>
            </w:r>
          </w:p>
          <w:p w:rsidR="00E07BAB" w:rsidRPr="00E07BAB" w:rsidRDefault="00E07BAB" w:rsidP="00045E12">
            <w:pPr>
              <w:rPr>
                <w:b/>
                <w:sz w:val="24"/>
                <w:szCs w:val="24"/>
              </w:rPr>
            </w:pPr>
            <w:r w:rsidRPr="00E07BAB">
              <w:rPr>
                <w:b/>
                <w:sz w:val="24"/>
                <w:szCs w:val="24"/>
              </w:rPr>
              <w:t>tasa-arvotyöryhmä</w:t>
            </w:r>
          </w:p>
        </w:tc>
        <w:tc>
          <w:tcPr>
            <w:tcW w:w="6976" w:type="dxa"/>
          </w:tcPr>
          <w:p w:rsidR="00690EA1" w:rsidRDefault="00690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Tasa-arvotyön periaatteena koulussamme on </w:t>
            </w:r>
            <w:r w:rsidR="00A1421D">
              <w:rPr>
                <w:sz w:val="24"/>
                <w:szCs w:val="24"/>
              </w:rPr>
              <w:t xml:space="preserve">tasa-arvo- ja sukupuolitasa-arvotietoisuuden </w:t>
            </w:r>
            <w:r>
              <w:rPr>
                <w:sz w:val="24"/>
                <w:szCs w:val="24"/>
              </w:rPr>
              <w:t>ja ihmisten erilaisuuden hyväksymisen edistäminen.</w:t>
            </w:r>
          </w:p>
          <w:p w:rsidR="00690EA1" w:rsidRDefault="00690EA1">
            <w:pPr>
              <w:rPr>
                <w:sz w:val="24"/>
                <w:szCs w:val="24"/>
              </w:rPr>
            </w:pPr>
          </w:p>
          <w:p w:rsidR="000F77CC" w:rsidRDefault="000F7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tasa-arvotyö on kaikkien koulun arjessa työskentelevien aikuisten vastuulla. Suurin vastuu on kuitenkin koulun opettajilla, jotka joutuvat huomioimaan asian koulun jokapäiväisessä arjessa. Koululla ei ole tasa-arvon työryhmiä, mutta asiaa käsitellään tiimeissä ja tarvittaessa koulun yhteisöllisessä oppilashuolto-ryhmässä.</w:t>
            </w:r>
          </w:p>
          <w:p w:rsidR="00E07BAB" w:rsidRPr="00E07BAB" w:rsidRDefault="00E07BAB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E07BAB" w:rsidTr="00971389">
        <w:trPr>
          <w:trHeight w:val="1552"/>
        </w:trPr>
        <w:tc>
          <w:tcPr>
            <w:tcW w:w="2802" w:type="dxa"/>
          </w:tcPr>
          <w:p w:rsidR="00E07BAB" w:rsidRPr="00E07BAB" w:rsidRDefault="00E07BAB" w:rsidP="0075429B">
            <w:pPr>
              <w:rPr>
                <w:b/>
                <w:sz w:val="24"/>
                <w:szCs w:val="24"/>
              </w:rPr>
            </w:pPr>
            <w:r w:rsidRPr="00E07BAB">
              <w:rPr>
                <w:b/>
                <w:sz w:val="24"/>
                <w:szCs w:val="24"/>
              </w:rPr>
              <w:t>Tavoite työskentelylle,</w:t>
            </w:r>
          </w:p>
          <w:p w:rsidR="00E07BAB" w:rsidRDefault="00E07BAB" w:rsidP="0075429B">
            <w:pPr>
              <w:rPr>
                <w:sz w:val="24"/>
                <w:szCs w:val="24"/>
              </w:rPr>
            </w:pPr>
            <w:r w:rsidRPr="00E07BAB">
              <w:rPr>
                <w:b/>
                <w:sz w:val="24"/>
                <w:szCs w:val="24"/>
              </w:rPr>
              <w:t>Tasa-arvoinen koulu</w:t>
            </w:r>
          </w:p>
        </w:tc>
        <w:tc>
          <w:tcPr>
            <w:tcW w:w="6976" w:type="dxa"/>
          </w:tcPr>
          <w:p w:rsidR="00242CA6" w:rsidRPr="008527A3" w:rsidRDefault="00242CA6" w:rsidP="00242CA6">
            <w:pPr>
              <w:rPr>
                <w:sz w:val="24"/>
                <w:szCs w:val="24"/>
              </w:rPr>
            </w:pPr>
            <w:r w:rsidRPr="008527A3">
              <w:rPr>
                <w:sz w:val="24"/>
                <w:szCs w:val="24"/>
              </w:rPr>
              <w:t>Tasa-arvosuunnitelman on tarkoitus olla koulun työkalu, jolla tuetaan sukupuolten tasa-arvon edistämistä ja järjestelmällisen tasa-arvotyön tekemistä koulun arjessa oppilaiden ikään sopivalla tavalla. Suunnitelman taustalla on ajatus siitä, että opetuksen tulisi olla sukupuolitietoista, olla yhdenvertaisesti kannustavaa sekä tytöille että pojille. Tarkoituksena on lisätä tieto</w:t>
            </w:r>
            <w:r w:rsidR="00A1421D" w:rsidRPr="008527A3">
              <w:rPr>
                <w:sz w:val="24"/>
                <w:szCs w:val="24"/>
              </w:rPr>
              <w:t>isuutta ja ymmärrystä sukupuolten</w:t>
            </w:r>
            <w:r w:rsidRPr="008527A3">
              <w:rPr>
                <w:sz w:val="24"/>
                <w:szCs w:val="24"/>
              </w:rPr>
              <w:t xml:space="preserve"> moninaisuudesta ja muuttaa sukupuolittuneita asenteita. </w:t>
            </w:r>
          </w:p>
          <w:p w:rsidR="00E07BAB" w:rsidRPr="000D788F" w:rsidRDefault="00E07BAB" w:rsidP="00E07BAB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E07BAB" w:rsidTr="00971389">
        <w:trPr>
          <w:trHeight w:val="3083"/>
        </w:trPr>
        <w:tc>
          <w:tcPr>
            <w:tcW w:w="2802" w:type="dxa"/>
          </w:tcPr>
          <w:p w:rsidR="00E07BAB" w:rsidRPr="00E07BAB" w:rsidRDefault="00E07BAB">
            <w:pPr>
              <w:rPr>
                <w:b/>
                <w:sz w:val="24"/>
                <w:szCs w:val="24"/>
              </w:rPr>
            </w:pPr>
            <w:r w:rsidRPr="00E07BAB">
              <w:rPr>
                <w:b/>
                <w:sz w:val="24"/>
                <w:szCs w:val="24"/>
              </w:rPr>
              <w:t>Selvitys koulun tasa-arvotilanteesta</w:t>
            </w:r>
          </w:p>
        </w:tc>
        <w:tc>
          <w:tcPr>
            <w:tcW w:w="6976" w:type="dxa"/>
          </w:tcPr>
          <w:p w:rsidR="003D24DA" w:rsidRPr="008527A3" w:rsidRDefault="003D24DA" w:rsidP="003D24DA">
            <w:pPr>
              <w:rPr>
                <w:sz w:val="24"/>
                <w:szCs w:val="24"/>
              </w:rPr>
            </w:pPr>
            <w:r w:rsidRPr="008527A3">
              <w:rPr>
                <w:sz w:val="24"/>
                <w:szCs w:val="24"/>
              </w:rPr>
              <w:t>Opetushenkilöstön mielestä koulun tasa-arvoisuuden</w:t>
            </w:r>
            <w:r w:rsidR="00242CA6" w:rsidRPr="008527A3">
              <w:rPr>
                <w:sz w:val="24"/>
                <w:szCs w:val="24"/>
              </w:rPr>
              <w:t xml:space="preserve"> lähtötilanne ei poikkea </w:t>
            </w:r>
            <w:r w:rsidRPr="008527A3">
              <w:rPr>
                <w:sz w:val="24"/>
                <w:szCs w:val="24"/>
              </w:rPr>
              <w:t xml:space="preserve">suuntaan eikä toiseen keskiverrosta suomalaisesta ala-koulusta. Tämä käsitys tilanteesta on syntynyt koulun arjessa. Varsinaista tutkimusta (kysely, kirjoitelma, keskustelu, pelit, draama) aiheesta ei tähän mennessä kuitenkaan ole tehty. </w:t>
            </w:r>
          </w:p>
          <w:p w:rsidR="00690EA1" w:rsidRPr="008527A3" w:rsidRDefault="003D24DA" w:rsidP="00DA3D8B">
            <w:pPr>
              <w:rPr>
                <w:sz w:val="24"/>
                <w:szCs w:val="24"/>
              </w:rPr>
            </w:pPr>
            <w:r w:rsidRPr="008527A3">
              <w:rPr>
                <w:sz w:val="24"/>
                <w:szCs w:val="24"/>
              </w:rPr>
              <w:t xml:space="preserve">Koulun arjen tasa-arvon ilmapiiri on </w:t>
            </w:r>
            <w:r w:rsidR="00DA3D8B" w:rsidRPr="008527A3">
              <w:rPr>
                <w:sz w:val="24"/>
                <w:szCs w:val="24"/>
              </w:rPr>
              <w:t>lasten ikä huomioiden salliva. Yksittäisiä sukupuoleen liittyviä konflikteja esiintyy ja ne käsitellään</w:t>
            </w:r>
            <w:r w:rsidR="00690EA1" w:rsidRPr="008527A3">
              <w:rPr>
                <w:sz w:val="24"/>
                <w:szCs w:val="24"/>
              </w:rPr>
              <w:t xml:space="preserve"> ja </w:t>
            </w:r>
            <w:r w:rsidR="00DA3D8B" w:rsidRPr="008527A3">
              <w:rPr>
                <w:sz w:val="24"/>
                <w:szCs w:val="24"/>
              </w:rPr>
              <w:t>selvitetään joko luokan opettajan tai tilanteen niin vaat</w:t>
            </w:r>
            <w:r w:rsidR="00690EA1" w:rsidRPr="008527A3">
              <w:rPr>
                <w:sz w:val="24"/>
                <w:szCs w:val="24"/>
              </w:rPr>
              <w:t xml:space="preserve">iessa </w:t>
            </w:r>
            <w:r w:rsidR="00DA3D8B" w:rsidRPr="008527A3">
              <w:rPr>
                <w:sz w:val="24"/>
                <w:szCs w:val="24"/>
              </w:rPr>
              <w:t xml:space="preserve">koulun </w:t>
            </w:r>
            <w:proofErr w:type="spellStart"/>
            <w:r w:rsidR="00DA3D8B" w:rsidRPr="008527A3">
              <w:rPr>
                <w:sz w:val="24"/>
                <w:szCs w:val="24"/>
              </w:rPr>
              <w:t>KiVa-tiimi</w:t>
            </w:r>
            <w:r w:rsidR="00690EA1" w:rsidRPr="008527A3">
              <w:rPr>
                <w:sz w:val="24"/>
                <w:szCs w:val="24"/>
              </w:rPr>
              <w:t>n</w:t>
            </w:r>
            <w:proofErr w:type="spellEnd"/>
            <w:r w:rsidR="00690EA1" w:rsidRPr="008527A3">
              <w:rPr>
                <w:sz w:val="24"/>
                <w:szCs w:val="24"/>
              </w:rPr>
              <w:t xml:space="preserve"> toimesta</w:t>
            </w:r>
          </w:p>
          <w:p w:rsidR="00DA3D8B" w:rsidRPr="00B01314" w:rsidRDefault="00DA3D8B" w:rsidP="00DA3D8B">
            <w:pPr>
              <w:rPr>
                <w:i/>
                <w:color w:val="FF0000"/>
                <w:sz w:val="24"/>
                <w:szCs w:val="24"/>
              </w:rPr>
            </w:pPr>
            <w:r w:rsidRPr="00B01314">
              <w:rPr>
                <w:i/>
                <w:sz w:val="24"/>
                <w:szCs w:val="24"/>
              </w:rPr>
              <w:t xml:space="preserve"> </w:t>
            </w:r>
            <w:r w:rsidR="002B66AE" w:rsidRPr="00B01314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7143B8" w:rsidRPr="00B01314" w:rsidRDefault="00DA3D8B" w:rsidP="0019214B">
            <w:pPr>
              <w:rPr>
                <w:i/>
                <w:sz w:val="24"/>
                <w:szCs w:val="24"/>
              </w:rPr>
            </w:pPr>
            <w:r w:rsidRPr="008527A3">
              <w:rPr>
                <w:sz w:val="24"/>
                <w:szCs w:val="24"/>
              </w:rPr>
              <w:t xml:space="preserve">Koulun kasvatustyössä ja opetuksessa tasa-arvotyötä tuetaan monilla tavoin. Opetusryhmät pyritään muodostamaan sukupuolisesti sekaryhmiksi, ryhmätöissä korostetaan </w:t>
            </w:r>
            <w:r w:rsidR="00E52CEA" w:rsidRPr="008527A3">
              <w:rPr>
                <w:sz w:val="24"/>
                <w:szCs w:val="24"/>
              </w:rPr>
              <w:t xml:space="preserve">tasa-arvotietoista </w:t>
            </w:r>
            <w:r w:rsidRPr="008527A3">
              <w:rPr>
                <w:sz w:val="24"/>
                <w:szCs w:val="24"/>
              </w:rPr>
              <w:t xml:space="preserve">sukupuolista jakaumaa.  </w:t>
            </w:r>
            <w:r w:rsidR="00E52CEA" w:rsidRPr="008527A3">
              <w:rPr>
                <w:sz w:val="24"/>
                <w:szCs w:val="24"/>
              </w:rPr>
              <w:t xml:space="preserve">Sukupuolitietoiseen oppimateriaalin valintaan ei varsinaisesti kiinnitetä vielä mitenkään erityistä huomiota. Toisaalta ei myöskään suljeta pois koululla jo olevaa sukupuolitietoista materiaalia. Oppilaita </w:t>
            </w:r>
            <w:proofErr w:type="gramStart"/>
            <w:r w:rsidR="00E52CEA" w:rsidRPr="008527A3">
              <w:rPr>
                <w:sz w:val="24"/>
                <w:szCs w:val="24"/>
              </w:rPr>
              <w:t>myöskin</w:t>
            </w:r>
            <w:proofErr w:type="gramEnd"/>
            <w:r w:rsidR="00E52CEA" w:rsidRPr="008527A3">
              <w:rPr>
                <w:sz w:val="24"/>
                <w:szCs w:val="24"/>
              </w:rPr>
              <w:t xml:space="preserve"> rohkaistaan tekemään  sukupuolelleen epätyypillisen valinnaisainevalinnan.</w:t>
            </w:r>
            <w:r w:rsidR="00E07BAB" w:rsidRPr="00B01314">
              <w:rPr>
                <w:i/>
                <w:sz w:val="24"/>
                <w:szCs w:val="24"/>
              </w:rPr>
              <w:t xml:space="preserve"> </w:t>
            </w:r>
            <w:r w:rsidR="00E52CEA" w:rsidRPr="008527A3">
              <w:rPr>
                <w:sz w:val="24"/>
                <w:szCs w:val="24"/>
              </w:rPr>
              <w:lastRenderedPageBreak/>
              <w:t>Koulussa on huomattu sukupuolten väliset erot eri oppiaineiden opiskelussa. Oppimistuloksia pyritään tasaamaan sekaryhmissä työskentelyllä, tarkoituk</w:t>
            </w:r>
            <w:r w:rsidR="0019214B" w:rsidRPr="008527A3">
              <w:rPr>
                <w:sz w:val="24"/>
                <w:szCs w:val="24"/>
              </w:rPr>
              <w:t>sena on, että oppilaat ohjaisivat ja opastaisi</w:t>
            </w:r>
            <w:r w:rsidR="00E52CEA" w:rsidRPr="008527A3">
              <w:rPr>
                <w:sz w:val="24"/>
                <w:szCs w:val="24"/>
              </w:rPr>
              <w:t>vat toinen toisiaan parantamaan oppi</w:t>
            </w:r>
            <w:r w:rsidR="0019214B" w:rsidRPr="008527A3">
              <w:rPr>
                <w:sz w:val="24"/>
                <w:szCs w:val="24"/>
              </w:rPr>
              <w:t>mistuloksiaan</w:t>
            </w:r>
            <w:r w:rsidR="0019214B" w:rsidRPr="00B01314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E07BAB" w:rsidTr="00971389">
        <w:tc>
          <w:tcPr>
            <w:tcW w:w="2802" w:type="dxa"/>
          </w:tcPr>
          <w:p w:rsidR="00E07BAB" w:rsidRPr="004E2AF9" w:rsidRDefault="00E07BAB" w:rsidP="003A4ACB">
            <w:pPr>
              <w:rPr>
                <w:b/>
                <w:sz w:val="24"/>
                <w:szCs w:val="24"/>
              </w:rPr>
            </w:pPr>
            <w:r w:rsidRPr="004E2AF9">
              <w:rPr>
                <w:b/>
                <w:sz w:val="24"/>
                <w:szCs w:val="24"/>
              </w:rPr>
              <w:lastRenderedPageBreak/>
              <w:t xml:space="preserve">Toimenpiteet tasa-arvon edistämiseksi </w:t>
            </w:r>
          </w:p>
        </w:tc>
        <w:tc>
          <w:tcPr>
            <w:tcW w:w="6976" w:type="dxa"/>
          </w:tcPr>
          <w:p w:rsidR="00B11103" w:rsidRDefault="00690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Tällä hetkellä tasa-arvoisuutta koulussa vaalitaan ja edistetään välttämällä pelkästään toista sukupuolta olevia ryhmiä, opettamalla lapsille ryhmätyö- ja kaveritaitoja. Myös kummitoiminnalla on koulussa pitkät perinteet</w:t>
            </w:r>
            <w:r w:rsidR="00B11103">
              <w:rPr>
                <w:sz w:val="24"/>
                <w:szCs w:val="24"/>
              </w:rPr>
              <w:t>. Myös koulun oppilaskuntatoiminta ja sen lukuvuoden aikana toteuttamat tapahtumat ylläpitävät koulun tasa-arvoa.</w:t>
            </w:r>
          </w:p>
          <w:p w:rsidR="00B11103" w:rsidRDefault="00B11103">
            <w:pPr>
              <w:rPr>
                <w:sz w:val="24"/>
                <w:szCs w:val="24"/>
              </w:rPr>
            </w:pPr>
          </w:p>
          <w:p w:rsidR="00B11103" w:rsidRDefault="00B1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Tulevaisuudessa kaikenlaisen tasa-arvoisuuden lisäämiseksi ja edistämiseksi koulussa voitaisiin toteuttaa esimerkiksi Kaveriviikko.</w:t>
            </w:r>
          </w:p>
          <w:p w:rsidR="0019214B" w:rsidRDefault="00B1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Viikko voisi aina huipentua 19.3. vietettävään tasa-arvon päivään.</w:t>
            </w:r>
          </w:p>
          <w:p w:rsidR="00B11103" w:rsidRPr="0019214B" w:rsidRDefault="00B1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tasa-arvotilannetta voitaisiin vuosittain selvittää opettajille, oppilaille ja huoltajille suunnatulla kyselyllä.</w:t>
            </w:r>
          </w:p>
          <w:p w:rsidR="00E07BAB" w:rsidRPr="00273DE6" w:rsidRDefault="00E07BAB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E07BAB" w:rsidTr="00971389">
        <w:trPr>
          <w:trHeight w:val="1973"/>
        </w:trPr>
        <w:tc>
          <w:tcPr>
            <w:tcW w:w="2802" w:type="dxa"/>
          </w:tcPr>
          <w:p w:rsidR="00E07BAB" w:rsidRPr="00F956C5" w:rsidRDefault="00E07BAB">
            <w:pPr>
              <w:rPr>
                <w:b/>
                <w:sz w:val="24"/>
                <w:szCs w:val="24"/>
              </w:rPr>
            </w:pPr>
            <w:r w:rsidRPr="00F956C5">
              <w:rPr>
                <w:b/>
                <w:sz w:val="24"/>
                <w:szCs w:val="24"/>
              </w:rPr>
              <w:t>Seuranta ja arviointi</w:t>
            </w:r>
          </w:p>
        </w:tc>
        <w:tc>
          <w:tcPr>
            <w:tcW w:w="6976" w:type="dxa"/>
          </w:tcPr>
          <w:p w:rsidR="00E07BAB" w:rsidRPr="007143B8" w:rsidRDefault="00B11103" w:rsidP="0097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tasa-arvotila</w:t>
            </w:r>
            <w:r w:rsidR="007143B8">
              <w:rPr>
                <w:sz w:val="24"/>
                <w:szCs w:val="24"/>
              </w:rPr>
              <w:t xml:space="preserve">nnetta mitataan </w:t>
            </w:r>
            <w:proofErr w:type="spellStart"/>
            <w:r w:rsidR="007143B8">
              <w:rPr>
                <w:sz w:val="24"/>
                <w:szCs w:val="24"/>
              </w:rPr>
              <w:t>lukuvuosittain</w:t>
            </w:r>
            <w:proofErr w:type="spellEnd"/>
            <w:r w:rsidR="007143B8">
              <w:rPr>
                <w:sz w:val="24"/>
                <w:szCs w:val="24"/>
              </w:rPr>
              <w:t xml:space="preserve"> tehtävällä kyselyllä tai luokissa oppilaiden ikä huomioiden opettajan teettämillä tehtävillä. Saatujen tulosten perusteella seurataan koulun tasa-arvotyön tuloksellisuutta kokonaisuudessaan. Tarvittaessa suunnitelmaa muutetaan ja täydennetään.</w:t>
            </w:r>
          </w:p>
        </w:tc>
      </w:tr>
      <w:tr w:rsidR="00E07BAB" w:rsidTr="00971389">
        <w:trPr>
          <w:trHeight w:val="850"/>
        </w:trPr>
        <w:tc>
          <w:tcPr>
            <w:tcW w:w="2802" w:type="dxa"/>
          </w:tcPr>
          <w:p w:rsidR="00E07BAB" w:rsidRPr="00971389" w:rsidRDefault="00E07BAB">
            <w:pPr>
              <w:rPr>
                <w:b/>
                <w:sz w:val="24"/>
                <w:szCs w:val="24"/>
              </w:rPr>
            </w:pPr>
            <w:r w:rsidRPr="00971389">
              <w:rPr>
                <w:b/>
                <w:sz w:val="24"/>
                <w:szCs w:val="24"/>
              </w:rPr>
              <w:t>Tiedottaminen ja jalkauttaminen</w:t>
            </w:r>
          </w:p>
        </w:tc>
        <w:tc>
          <w:tcPr>
            <w:tcW w:w="6976" w:type="dxa"/>
          </w:tcPr>
          <w:p w:rsidR="00A4713A" w:rsidRDefault="007143B8" w:rsidP="0097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Tärkeimpänä koulun tasa-arvotyön tiedotuskanavana kaikille osapuolille </w:t>
            </w:r>
            <w:r w:rsidR="00A1421D">
              <w:rPr>
                <w:sz w:val="24"/>
                <w:szCs w:val="24"/>
              </w:rPr>
              <w:t xml:space="preserve">toimivat koulun </w:t>
            </w:r>
            <w:proofErr w:type="spellStart"/>
            <w:r w:rsidR="00A1421D">
              <w:rPr>
                <w:sz w:val="24"/>
                <w:szCs w:val="24"/>
              </w:rPr>
              <w:t>PedaNet-sivut</w:t>
            </w:r>
            <w:proofErr w:type="spellEnd"/>
            <w:r w:rsidR="00A1421D">
              <w:rPr>
                <w:sz w:val="24"/>
                <w:szCs w:val="24"/>
              </w:rPr>
              <w:t xml:space="preserve"> ja</w:t>
            </w:r>
            <w:r w:rsidR="00A4713A">
              <w:rPr>
                <w:sz w:val="24"/>
                <w:szCs w:val="24"/>
              </w:rPr>
              <w:t xml:space="preserve"> </w:t>
            </w:r>
            <w:proofErr w:type="spellStart"/>
            <w:r w:rsidR="00A4713A">
              <w:rPr>
                <w:sz w:val="24"/>
                <w:szCs w:val="24"/>
              </w:rPr>
              <w:t>Wilma</w:t>
            </w:r>
            <w:proofErr w:type="spellEnd"/>
            <w:r w:rsidR="00A4713A">
              <w:rPr>
                <w:sz w:val="24"/>
                <w:szCs w:val="24"/>
              </w:rPr>
              <w:t>.</w:t>
            </w:r>
          </w:p>
          <w:p w:rsidR="00A4713A" w:rsidRDefault="00A4713A" w:rsidP="00971389">
            <w:pPr>
              <w:rPr>
                <w:sz w:val="24"/>
                <w:szCs w:val="24"/>
              </w:rPr>
            </w:pPr>
          </w:p>
          <w:p w:rsidR="007143B8" w:rsidRPr="007143B8" w:rsidRDefault="00A4713A" w:rsidP="0097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Tärkeimpinä arjen tasa-arvotyön toteuttajina </w:t>
            </w:r>
            <w:r w:rsidR="00A1421D">
              <w:rPr>
                <w:sz w:val="24"/>
                <w:szCs w:val="24"/>
              </w:rPr>
              <w:t xml:space="preserve">koulussa </w:t>
            </w:r>
            <w:r>
              <w:rPr>
                <w:sz w:val="24"/>
                <w:szCs w:val="24"/>
              </w:rPr>
              <w:t xml:space="preserve">ovat luokissa opetustyötä tekevät opettajat. Myös opettajien ja ohjaajien </w:t>
            </w:r>
            <w:r w:rsidR="00A1421D">
              <w:rPr>
                <w:sz w:val="24"/>
                <w:szCs w:val="24"/>
              </w:rPr>
              <w:t>muodostamilla tiimeillä (</w:t>
            </w:r>
            <w:r>
              <w:rPr>
                <w:sz w:val="24"/>
                <w:szCs w:val="24"/>
              </w:rPr>
              <w:t>1-</w:t>
            </w:r>
            <w:proofErr w:type="gramStart"/>
            <w:r>
              <w:rPr>
                <w:sz w:val="24"/>
                <w:szCs w:val="24"/>
              </w:rPr>
              <w:t>2lk,   3</w:t>
            </w:r>
            <w:proofErr w:type="gramEnd"/>
            <w:r>
              <w:rPr>
                <w:sz w:val="24"/>
                <w:szCs w:val="24"/>
              </w:rPr>
              <w:t>-4lk ja 5-6lk</w:t>
            </w:r>
            <w:r w:rsidR="00A1421D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 on iso </w:t>
            </w:r>
            <w:r w:rsidR="00A1421D">
              <w:rPr>
                <w:sz w:val="24"/>
                <w:szCs w:val="24"/>
              </w:rPr>
              <w:t>suunnittelu- ja toteutus</w:t>
            </w:r>
            <w:r>
              <w:rPr>
                <w:sz w:val="24"/>
                <w:szCs w:val="24"/>
              </w:rPr>
              <w:t xml:space="preserve">vastuu ko. asiassa. </w:t>
            </w:r>
            <w:r w:rsidR="007143B8">
              <w:rPr>
                <w:sz w:val="24"/>
                <w:szCs w:val="24"/>
              </w:rPr>
              <w:t xml:space="preserve"> </w:t>
            </w:r>
          </w:p>
          <w:p w:rsidR="00E07BAB" w:rsidRPr="00B57FAE" w:rsidRDefault="00E07BAB" w:rsidP="00971389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E07BAB" w:rsidTr="00971389">
        <w:trPr>
          <w:trHeight w:val="1218"/>
        </w:trPr>
        <w:tc>
          <w:tcPr>
            <w:tcW w:w="2802" w:type="dxa"/>
          </w:tcPr>
          <w:p w:rsidR="00E07BAB" w:rsidRPr="00971389" w:rsidRDefault="009713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Seksuaaliseen h</w:t>
            </w:r>
            <w:r w:rsidRPr="00971389">
              <w:rPr>
                <w:b/>
                <w:sz w:val="24"/>
                <w:szCs w:val="24"/>
              </w:rPr>
              <w:t>äirintään puuttuminen</w:t>
            </w:r>
          </w:p>
        </w:tc>
        <w:tc>
          <w:tcPr>
            <w:tcW w:w="6976" w:type="dxa"/>
          </w:tcPr>
          <w:p w:rsidR="00B01314" w:rsidRPr="000F77CC" w:rsidRDefault="00C93C34" w:rsidP="0097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Alakouluikäiset oppilaat ilmoittavat sukupuolisen häirinnän koulun aikuiselle yleensä kiusaamisena. tapauksen selvittelyt aloitetaan luokan opettajien toimesta. Vaikeimmat tai monimutkaisemmat tapaukset ohjataan koulun </w:t>
            </w:r>
            <w:proofErr w:type="spellStart"/>
            <w:r>
              <w:rPr>
                <w:sz w:val="24"/>
                <w:szCs w:val="24"/>
              </w:rPr>
              <w:t>KiVa-tiimille</w:t>
            </w:r>
            <w:proofErr w:type="spellEnd"/>
            <w:r>
              <w:rPr>
                <w:sz w:val="24"/>
                <w:szCs w:val="24"/>
              </w:rPr>
              <w:t xml:space="preserve">, jolloin tapauksen selvittämistyö </w:t>
            </w:r>
            <w:proofErr w:type="spellStart"/>
            <w:r>
              <w:rPr>
                <w:sz w:val="24"/>
                <w:szCs w:val="24"/>
              </w:rPr>
              <w:t>toimenpide-</w:t>
            </w:r>
            <w:r w:rsidR="000F77CC">
              <w:rPr>
                <w:sz w:val="24"/>
                <w:szCs w:val="24"/>
              </w:rPr>
              <w:t>ja</w:t>
            </w:r>
            <w:proofErr w:type="spellEnd"/>
            <w:r w:rsidR="000F77CC">
              <w:rPr>
                <w:sz w:val="24"/>
                <w:szCs w:val="24"/>
              </w:rPr>
              <w:t xml:space="preserve"> seuranta</w:t>
            </w:r>
            <w:r>
              <w:rPr>
                <w:sz w:val="24"/>
                <w:szCs w:val="24"/>
              </w:rPr>
              <w:t>ehdotuksinee</w:t>
            </w:r>
            <w:r w:rsidR="000F77CC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dokumentoidaan kiusaamistapausten selvittämiskansioon.</w:t>
            </w:r>
            <w:r w:rsidR="000F77CC">
              <w:rPr>
                <w:sz w:val="24"/>
                <w:szCs w:val="24"/>
              </w:rPr>
              <w:t xml:space="preserve"> Opettajat ovat velvoitettuja ilmoittamaan kaikista ilmenneistä kiusaamistapauksista tai sukupuolta loukkaavasta nimittelystä molempien osapuolten huoltajille. </w:t>
            </w:r>
          </w:p>
        </w:tc>
      </w:tr>
      <w:tr w:rsidR="00E07BAB" w:rsidTr="00971389">
        <w:trPr>
          <w:trHeight w:val="1401"/>
        </w:trPr>
        <w:tc>
          <w:tcPr>
            <w:tcW w:w="2802" w:type="dxa"/>
          </w:tcPr>
          <w:p w:rsidR="00E07BAB" w:rsidRDefault="00971389">
            <w:pPr>
              <w:rPr>
                <w:b/>
                <w:sz w:val="24"/>
                <w:szCs w:val="24"/>
              </w:rPr>
            </w:pPr>
            <w:r w:rsidRPr="00971389">
              <w:rPr>
                <w:b/>
                <w:sz w:val="24"/>
                <w:szCs w:val="24"/>
              </w:rPr>
              <w:lastRenderedPageBreak/>
              <w:t>Muuta huomioitavaa</w:t>
            </w:r>
          </w:p>
          <w:p w:rsidR="00971389" w:rsidRPr="00971389" w:rsidRDefault="009713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tasa-arvoon liittyen</w:t>
            </w:r>
          </w:p>
        </w:tc>
        <w:tc>
          <w:tcPr>
            <w:tcW w:w="6976" w:type="dxa"/>
          </w:tcPr>
          <w:p w:rsidR="00E07BAB" w:rsidRDefault="0019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tasa-arvoa käsittelevää </w:t>
            </w:r>
            <w:r w:rsidRPr="0019214B">
              <w:rPr>
                <w:sz w:val="24"/>
                <w:szCs w:val="24"/>
              </w:rPr>
              <w:t>kirjallisuutta</w:t>
            </w:r>
            <w:r>
              <w:rPr>
                <w:sz w:val="24"/>
                <w:szCs w:val="24"/>
              </w:rPr>
              <w:t>:</w:t>
            </w:r>
          </w:p>
          <w:p w:rsidR="008527A3" w:rsidRDefault="008527A3">
            <w:pPr>
              <w:rPr>
                <w:sz w:val="24"/>
                <w:szCs w:val="24"/>
              </w:rPr>
            </w:pPr>
          </w:p>
          <w:p w:rsidR="0019214B" w:rsidRDefault="00272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-</w:t>
            </w:r>
            <w:r w:rsidR="0019214B">
              <w:rPr>
                <w:sz w:val="24"/>
                <w:szCs w:val="24"/>
              </w:rPr>
              <w:t>Opetush</w:t>
            </w:r>
            <w:bookmarkStart w:id="0" w:name="_GoBack"/>
            <w:bookmarkEnd w:id="0"/>
            <w:r w:rsidR="0019214B">
              <w:rPr>
                <w:sz w:val="24"/>
                <w:szCs w:val="24"/>
              </w:rPr>
              <w:t>allituksen</w:t>
            </w:r>
            <w:proofErr w:type="spellEnd"/>
            <w:r w:rsidR="0019214B">
              <w:rPr>
                <w:sz w:val="24"/>
                <w:szCs w:val="24"/>
              </w:rPr>
              <w:t xml:space="preserve"> julkaisu oppaat ja käsikirjat 2015:5: Tasa-arvo on taito</w:t>
            </w:r>
            <w:r w:rsidR="00D57E98">
              <w:rPr>
                <w:sz w:val="24"/>
                <w:szCs w:val="24"/>
              </w:rPr>
              <w:t xml:space="preserve">laji. </w:t>
            </w:r>
            <w:r w:rsidR="0019214B">
              <w:rPr>
                <w:sz w:val="24"/>
                <w:szCs w:val="24"/>
              </w:rPr>
              <w:t xml:space="preserve">(www. </w:t>
            </w:r>
            <w:proofErr w:type="spellStart"/>
            <w:r w:rsidR="0019214B">
              <w:rPr>
                <w:sz w:val="24"/>
                <w:szCs w:val="24"/>
              </w:rPr>
              <w:t>oph.fi/julkaisut</w:t>
            </w:r>
            <w:proofErr w:type="spellEnd"/>
            <w:r w:rsidR="0019214B">
              <w:rPr>
                <w:sz w:val="24"/>
                <w:szCs w:val="24"/>
              </w:rPr>
              <w:t>)</w:t>
            </w:r>
          </w:p>
          <w:p w:rsidR="0019214B" w:rsidRDefault="0027242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-</w:t>
            </w:r>
            <w:proofErr w:type="gramEnd"/>
            <w:r w:rsidR="0019214B">
              <w:rPr>
                <w:sz w:val="24"/>
                <w:szCs w:val="24"/>
              </w:rPr>
              <w:t>Mannerheimin</w:t>
            </w:r>
            <w:proofErr w:type="spellEnd"/>
            <w:r w:rsidR="0019214B">
              <w:rPr>
                <w:sz w:val="24"/>
                <w:szCs w:val="24"/>
              </w:rPr>
              <w:t xml:space="preserve"> lastensuojeluliiton julkaisut (</w:t>
            </w:r>
            <w:hyperlink r:id="rId9" w:history="1">
              <w:r w:rsidR="0019214B" w:rsidRPr="00C94BD6">
                <w:rPr>
                  <w:rStyle w:val="Hyperlinkki"/>
                  <w:sz w:val="24"/>
                  <w:szCs w:val="24"/>
                </w:rPr>
                <w:t>www.mll.fi</w:t>
              </w:r>
            </w:hyperlink>
            <w:r w:rsidR="0019214B">
              <w:rPr>
                <w:sz w:val="24"/>
                <w:szCs w:val="24"/>
              </w:rPr>
              <w:t>)</w:t>
            </w:r>
          </w:p>
          <w:p w:rsidR="0019214B" w:rsidRDefault="0027242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>Sateenkaariperheet</w:t>
            </w:r>
            <w:proofErr w:type="spellEnd"/>
            <w:r>
              <w:rPr>
                <w:sz w:val="24"/>
                <w:szCs w:val="24"/>
              </w:rPr>
              <w:t xml:space="preserve"> ry:n tuottamat julkaisut</w:t>
            </w:r>
          </w:p>
          <w:p w:rsidR="00B11103" w:rsidRPr="0019214B" w:rsidRDefault="00B11103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64451D" w:rsidRDefault="0064451D">
      <w:pPr>
        <w:rPr>
          <w:sz w:val="24"/>
          <w:szCs w:val="24"/>
        </w:rPr>
      </w:pPr>
    </w:p>
    <w:p w:rsidR="0064451D" w:rsidRPr="008D65FC" w:rsidRDefault="0064451D">
      <w:pPr>
        <w:rPr>
          <w:sz w:val="24"/>
          <w:szCs w:val="24"/>
        </w:rPr>
      </w:pPr>
    </w:p>
    <w:sectPr w:rsidR="0064451D" w:rsidRPr="008D65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5E" w:rsidRDefault="002C175E" w:rsidP="002C175E">
      <w:pPr>
        <w:spacing w:after="0" w:line="240" w:lineRule="auto"/>
      </w:pPr>
      <w:r>
        <w:separator/>
      </w:r>
    </w:p>
  </w:endnote>
  <w:endnote w:type="continuationSeparator" w:id="0">
    <w:p w:rsidR="002C175E" w:rsidRDefault="002C175E" w:rsidP="002C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5E" w:rsidRDefault="002C175E" w:rsidP="002C175E">
      <w:pPr>
        <w:spacing w:after="0" w:line="240" w:lineRule="auto"/>
      </w:pPr>
      <w:r>
        <w:separator/>
      </w:r>
    </w:p>
  </w:footnote>
  <w:footnote w:type="continuationSeparator" w:id="0">
    <w:p w:rsidR="002C175E" w:rsidRDefault="002C175E" w:rsidP="002C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ECF"/>
    <w:multiLevelType w:val="hybridMultilevel"/>
    <w:tmpl w:val="56AEE630"/>
    <w:lvl w:ilvl="0" w:tplc="8894F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0F"/>
    <w:rsid w:val="000D788F"/>
    <w:rsid w:val="000F4DF2"/>
    <w:rsid w:val="000F77CC"/>
    <w:rsid w:val="0019214B"/>
    <w:rsid w:val="001C13B3"/>
    <w:rsid w:val="00242CA6"/>
    <w:rsid w:val="00272424"/>
    <w:rsid w:val="00273DE6"/>
    <w:rsid w:val="002B66AE"/>
    <w:rsid w:val="002C175E"/>
    <w:rsid w:val="00301E4C"/>
    <w:rsid w:val="003A4ACB"/>
    <w:rsid w:val="003D24DA"/>
    <w:rsid w:val="00437DB0"/>
    <w:rsid w:val="0044362E"/>
    <w:rsid w:val="00474C84"/>
    <w:rsid w:val="004E2AF9"/>
    <w:rsid w:val="005C1B67"/>
    <w:rsid w:val="0064451D"/>
    <w:rsid w:val="00690EA1"/>
    <w:rsid w:val="007143B8"/>
    <w:rsid w:val="008527A3"/>
    <w:rsid w:val="008D65FC"/>
    <w:rsid w:val="00920377"/>
    <w:rsid w:val="00971389"/>
    <w:rsid w:val="009F770F"/>
    <w:rsid w:val="00A1421D"/>
    <w:rsid w:val="00A4713A"/>
    <w:rsid w:val="00B01314"/>
    <w:rsid w:val="00B11103"/>
    <w:rsid w:val="00B57FAE"/>
    <w:rsid w:val="00C93C34"/>
    <w:rsid w:val="00D53CED"/>
    <w:rsid w:val="00D57E98"/>
    <w:rsid w:val="00DA3D8B"/>
    <w:rsid w:val="00E07BAB"/>
    <w:rsid w:val="00E30B2A"/>
    <w:rsid w:val="00E52CEA"/>
    <w:rsid w:val="00E81775"/>
    <w:rsid w:val="00EA100B"/>
    <w:rsid w:val="00EA3967"/>
    <w:rsid w:val="00F549FD"/>
    <w:rsid w:val="00F956C5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F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F770F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4451D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64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A396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C1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C175E"/>
  </w:style>
  <w:style w:type="paragraph" w:styleId="Alatunniste">
    <w:name w:val="footer"/>
    <w:basedOn w:val="Normaali"/>
    <w:link w:val="AlatunnisteChar"/>
    <w:uiPriority w:val="99"/>
    <w:unhideWhenUsed/>
    <w:rsid w:val="002C1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C1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F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F770F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4451D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64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A396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C1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C175E"/>
  </w:style>
  <w:style w:type="paragraph" w:styleId="Alatunniste">
    <w:name w:val="footer"/>
    <w:basedOn w:val="Normaali"/>
    <w:link w:val="AlatunnisteChar"/>
    <w:uiPriority w:val="99"/>
    <w:unhideWhenUsed/>
    <w:rsid w:val="002C1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C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l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8198-06E0-4BA6-BF12-3B5438B9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520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hkanerva</cp:lastModifiedBy>
  <cp:revision>8</cp:revision>
  <cp:lastPrinted>2016-06-21T09:17:00Z</cp:lastPrinted>
  <dcterms:created xsi:type="dcterms:W3CDTF">2016-11-19T13:57:00Z</dcterms:created>
  <dcterms:modified xsi:type="dcterms:W3CDTF">2016-11-23T10:41:00Z</dcterms:modified>
</cp:coreProperties>
</file>