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000000"/>
          <w:spacing w:val="0"/>
          <w:position w:val="0"/>
          <w:sz w:val="22"/>
          <w:u w:val="single"/>
          <w:shd w:fill="auto" w:val="clear"/>
        </w:rPr>
      </w:pPr>
      <w:r>
        <w:rPr>
          <w:rFonts w:ascii="Cambria" w:hAnsi="Cambria" w:cs="Cambria" w:eastAsia="Cambria"/>
          <w:b/>
          <w:color w:val="44546A"/>
          <w:spacing w:val="0"/>
          <w:position w:val="0"/>
          <w:sz w:val="40"/>
          <w:u w:val="single"/>
          <w:shd w:fill="auto" w:val="clear"/>
        </w:rPr>
        <w:t xml:space="preserve">Elämänkatsomustieto </w:t>
      </w:r>
    </w:p>
    <w:p>
      <w:pPr>
        <w:tabs>
          <w:tab w:val="left" w:pos="851" w:leader="none"/>
        </w:tabs>
        <w:spacing w:before="0" w:after="0" w:line="240"/>
        <w:ind w:right="0" w:left="0" w:firstLine="0"/>
        <w:jc w:val="center"/>
        <w:rPr>
          <w:rFonts w:ascii="Calibri" w:hAnsi="Calibri" w:cs="Calibri" w:eastAsia="Calibri"/>
          <w:color w:val="000000"/>
          <w:spacing w:val="0"/>
          <w:position w:val="0"/>
          <w:sz w:val="22"/>
          <w:u w:val="single"/>
          <w:shd w:fill="auto" w:val="clear"/>
        </w:rPr>
      </w:pPr>
      <w:r>
        <w:rPr>
          <w:rFonts w:ascii="Cambria" w:hAnsi="Cambria" w:cs="Cambria" w:eastAsia="Cambria"/>
          <w:b/>
          <w:color w:val="44546A"/>
          <w:spacing w:val="0"/>
          <w:position w:val="0"/>
          <w:sz w:val="32"/>
          <w:u w:val="single"/>
          <w:shd w:fill="auto" w:val="clear"/>
        </w:rPr>
        <w:t xml:space="preserve">7. luokka</w:t>
      </w:r>
    </w:p>
    <w:p>
      <w:pPr>
        <w:spacing w:before="0" w:after="0" w:line="240"/>
        <w:ind w:right="0" w:left="0" w:firstLine="0"/>
        <w:jc w:val="left"/>
        <w:rPr>
          <w:rFonts w:ascii="Calibri" w:hAnsi="Calibri" w:cs="Calibri" w:eastAsia="Calibri"/>
          <w:color w:val="000000"/>
          <w:spacing w:val="0"/>
          <w:position w:val="0"/>
          <w:sz w:val="22"/>
          <w:u w:val="single"/>
          <w:shd w:fill="auto" w:val="clear"/>
        </w:rPr>
      </w:pPr>
    </w:p>
    <w:tbl>
      <w:tblPr/>
      <w:tblGrid>
        <w:gridCol w:w="10057"/>
      </w:tblGrid>
      <w:tr>
        <w:trPr>
          <w:trHeight w:val="1" w:hRule="atLeast"/>
          <w:jc w:val="left"/>
        </w:trPr>
        <w:tc>
          <w:tcPr>
            <w:tcW w:w="10057"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center"/>
              <w:rPr>
                <w:spacing w:val="0"/>
                <w:position w:val="0"/>
                <w:shd w:fill="auto" w:val="clear"/>
              </w:rPr>
            </w:pPr>
            <w:r>
              <w:rPr>
                <w:rFonts w:ascii="Cambria" w:hAnsi="Cambria" w:cs="Cambria" w:eastAsia="Cambria"/>
                <w:b/>
                <w:color w:val="44546A"/>
                <w:spacing w:val="0"/>
                <w:position w:val="0"/>
                <w:sz w:val="28"/>
                <w:u w:val="single"/>
                <w:shd w:fill="auto" w:val="clear"/>
              </w:rPr>
              <w:t xml:space="preserve">Tavoitteet</w:t>
            </w:r>
          </w:p>
        </w:tc>
      </w:tr>
      <w:tr>
        <w:trPr>
          <w:trHeight w:val="2100" w:hRule="auto"/>
          <w:jc w:val="left"/>
        </w:trPr>
        <w:tc>
          <w:tcPr>
            <w:tcW w:w="10057"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T1 ohjata oppilasta tunnistamaan, ymmärtämään ja käyttämään katsomuksellisia</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käsitteitä</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T2 ohjata oppilasta tutustumaan erilaisiin kulttuureihin ja katsomuksiin</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T3 ohjata oppilasta tuntemaan erilaisia uskonnottomia ja uskonnollisia katsomuksia, niiden keskinäistä vuorovaikutusta sekä tiedon ja tutkimuksen roolia katsomusten arvioinnissa</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T4 ohjata oppilasta tuntemaan katsomusvapaus ihmisoikeutena </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T5 ohjata oppilasta hahmottamaan erilaisia katsomuksellisia ratkaisuja</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sekä niiden taustalla olevia yksilöllisiä ja yhteisöllisiä perusteita</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T6 kannustaa oppilasta maailman moninaisuuden ja kaikkien yhdenvertaisen</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kohtelun hyväksymiseen ja ymmärtämiseen</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T7 ohjata oppilasta huomaamaan eettisiä ulottuvuuksia elämästään ja</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ympäristöstään sekä kehittämään eettistä ajatteluaan</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T8 innostaa oppilasta pohtimaan omien valintojensa vaikutusta kestä-</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vään tulevaisuuteen paikallisesti ja globaalisti</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T9 ohjata oppilas tuntemaan ihmisarvon, ihmisoikeuksien ja ihmisten</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345A8A"/>
                <w:spacing w:val="0"/>
                <w:position w:val="0"/>
                <w:sz w:val="22"/>
                <w:u w:val="single"/>
                <w:shd w:fill="auto" w:val="clear"/>
              </w:rPr>
              <w:t xml:space="preserve">yhdenvertaisuuden merkitys</w:t>
            </w:r>
          </w:p>
          <w:p>
            <w:pPr>
              <w:spacing w:before="0" w:after="0" w:line="240"/>
              <w:ind w:right="0" w:left="0" w:firstLine="0"/>
              <w:jc w:val="left"/>
              <w:rPr>
                <w:rFonts w:ascii="Calibri" w:hAnsi="Calibri" w:cs="Calibri" w:eastAsia="Calibri"/>
                <w:spacing w:val="0"/>
                <w:position w:val="0"/>
                <w:sz w:val="22"/>
                <w:shd w:fill="auto" w:val="clear"/>
              </w:rPr>
            </w:pPr>
          </w:p>
        </w:tc>
      </w:tr>
    </w:tbl>
    <w:p>
      <w:pPr>
        <w:spacing w:before="0" w:after="0" w:line="240"/>
        <w:ind w:right="0" w:left="0" w:firstLine="0"/>
        <w:jc w:val="left"/>
        <w:rPr>
          <w:rFonts w:ascii="Calibri" w:hAnsi="Calibri" w:cs="Calibri" w:eastAsia="Calibri"/>
          <w:color w:val="000000"/>
          <w:spacing w:val="0"/>
          <w:position w:val="0"/>
          <w:sz w:val="22"/>
          <w:u w:val="single"/>
          <w:shd w:fill="auto" w:val="clear"/>
        </w:rPr>
      </w:pPr>
    </w:p>
    <w:tbl>
      <w:tblPr/>
      <w:tblGrid>
        <w:gridCol w:w="2595"/>
        <w:gridCol w:w="4605"/>
        <w:gridCol w:w="2895"/>
      </w:tblGrid>
      <w:tr>
        <w:trPr>
          <w:trHeight w:val="340" w:hRule="auto"/>
          <w:jc w:val="left"/>
        </w:trPr>
        <w:tc>
          <w:tcPr>
            <w:tcW w:w="10095" w:type="dxa"/>
            <w:gridSpan w:val="3"/>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center"/>
              <w:rPr>
                <w:spacing w:val="0"/>
                <w:position w:val="0"/>
                <w:shd w:fill="auto" w:val="clear"/>
              </w:rPr>
            </w:pPr>
            <w:r>
              <w:rPr>
                <w:rFonts w:ascii="Cambria" w:hAnsi="Cambria" w:cs="Cambria" w:eastAsia="Cambria"/>
                <w:b/>
                <w:color w:val="44546A"/>
                <w:spacing w:val="0"/>
                <w:position w:val="0"/>
                <w:sz w:val="28"/>
                <w:u w:val="single"/>
                <w:shd w:fill="auto" w:val="clear"/>
              </w:rPr>
              <w:t xml:space="preserve">Oppisisällöt</w:t>
            </w:r>
          </w:p>
        </w:tc>
      </w:tr>
      <w:tr>
        <w:trPr>
          <w:trHeight w:val="300" w:hRule="auto"/>
          <w:jc w:val="left"/>
        </w:trPr>
        <w:tc>
          <w:tcPr>
            <w:tcW w:w="259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spacing w:val="0"/>
                <w:position w:val="0"/>
                <w:shd w:fill="auto" w:val="clear"/>
              </w:rPr>
            </w:pPr>
            <w:r>
              <w:rPr>
                <w:rFonts w:ascii="Cambria" w:hAnsi="Cambria" w:cs="Cambria" w:eastAsia="Cambria"/>
                <w:b/>
                <w:color w:val="44546A"/>
                <w:spacing w:val="0"/>
                <w:position w:val="0"/>
                <w:sz w:val="24"/>
                <w:u w:val="single"/>
                <w:shd w:fill="auto" w:val="clear"/>
              </w:rPr>
              <w:t xml:space="preserve">Osa-alue=sisältöalue</w:t>
            </w:r>
          </w:p>
        </w:tc>
        <w:tc>
          <w:tcPr>
            <w:tcW w:w="460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mbria" w:hAnsi="Cambria" w:cs="Cambria" w:eastAsia="Cambria"/>
                <w:b/>
                <w:color w:val="44546A"/>
                <w:spacing w:val="0"/>
                <w:position w:val="0"/>
                <w:sz w:val="24"/>
                <w:u w:val="single"/>
                <w:shd w:fill="auto" w:val="clear"/>
              </w:rPr>
              <w:t xml:space="preserve">Sisältö</w:t>
            </w:r>
          </w:p>
          <w:p>
            <w:pPr>
              <w:spacing w:before="0" w:after="0" w:line="240"/>
              <w:ind w:right="0" w:left="0" w:firstLine="0"/>
              <w:jc w:val="left"/>
              <w:rPr>
                <w:spacing w:val="0"/>
                <w:position w:val="0"/>
                <w:shd w:fill="auto" w:val="clear"/>
              </w:rPr>
            </w:pPr>
          </w:p>
        </w:tc>
        <w:tc>
          <w:tcPr>
            <w:tcW w:w="289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spacing w:val="0"/>
                <w:position w:val="0"/>
                <w:shd w:fill="auto" w:val="clear"/>
              </w:rPr>
            </w:pPr>
            <w:r>
              <w:rPr>
                <w:rFonts w:ascii="Cambria" w:hAnsi="Cambria" w:cs="Cambria" w:eastAsia="Cambria"/>
                <w:b/>
                <w:color w:val="44546A"/>
                <w:spacing w:val="0"/>
                <w:position w:val="0"/>
                <w:sz w:val="24"/>
                <w:u w:val="single"/>
                <w:shd w:fill="auto" w:val="clear"/>
              </w:rPr>
              <w:t xml:space="preserve">Laaja-alainen osaaminen</w:t>
            </w:r>
          </w:p>
        </w:tc>
      </w:tr>
      <w:tr>
        <w:trPr>
          <w:trHeight w:val="4860" w:hRule="auto"/>
          <w:jc w:val="left"/>
        </w:trPr>
        <w:tc>
          <w:tcPr>
            <w:tcW w:w="259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44546A"/>
                <w:spacing w:val="0"/>
                <w:position w:val="0"/>
                <w:sz w:val="24"/>
                <w:u w:val="single"/>
                <w:shd w:fill="auto" w:val="clear"/>
              </w:rPr>
              <w:t xml:space="preserve">S1 Katsomus ja kulttuuri</w:t>
            </w:r>
          </w:p>
        </w:tc>
        <w:tc>
          <w:tcPr>
            <w:tcW w:w="460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 Perehdytään maailmankuvan ja maailmankatsomuksen käsitteisiin. </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 Keskusteleva lähestymistapa on keskeinen: käydään läpi oppilaan elämänkatsomuksen ja identiteetin rakentamista tukevia keskusteluja.</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 Perehdytään Unescon suojelemaan kulttuuri- ja luonnonperintöön </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 Seurataan kulttuurin ilmenemistä muun muassa mediassa ja taiteessa, paikallisnäkökulma huomioon ottaen. </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FFFFFF" w:val="clear"/>
              </w:rPr>
              <w:t xml:space="preserve">- Perehdytään teistisiin ja ateistisiin katsomuksiin nykymaailmassa, esimerkiksi sekulaariin humanismiin, kristinuskoon ja islamiin.</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FFFFFF" w:val="clear"/>
              </w:rPr>
              <w:t xml:space="preserve">- Tutustutaan valittuihin katsomusten historian ja niiden kohtaamisen käänteisiin sekä arvioidaan katsomusvapauden ja yhdenvertaisuuden toteutumista erilaisissa yhteiskunnissa.</w:t>
            </w: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KESKEISIÄ</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KÄSITTEITÄ</w:t>
            </w: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 Maailmankuva, maailmankatsomus, identiteetti, teismi, ateismi</w:t>
            </w: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PAIKALLISUUS</w:t>
            </w: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-Mm. suomalainen kansanusko ja -uskomukset, arktinen kulttuuri ja kertomusperinne tulevat hyvin esille lähiympäristössä. Myös paikallishistoriaan tutustuminen tukee sisältöaluetta.</w:t>
            </w:r>
          </w:p>
          <w:p>
            <w:pPr>
              <w:spacing w:before="0" w:after="0" w:line="240"/>
              <w:ind w:right="0" w:left="0" w:firstLine="0"/>
              <w:jc w:val="left"/>
              <w:rPr>
                <w:spacing w:val="0"/>
                <w:position w:val="0"/>
              </w:rPr>
            </w:pPr>
          </w:p>
        </w:tc>
        <w:tc>
          <w:tcPr>
            <w:tcW w:w="289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L1= Ajattelu ja oppimaan oppiminen</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 L2= Kulttuurinen osaaminen, vuorovaikutus ja ilmaisu </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L3= Itsestä huolehtiminen ja arjen taidot </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L4= Monilukutaito</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L5= Tieto- ja viestintäteknologinen osaaminen  </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L7= Osallistuminen, vaikuttaminen ja kestävän tulevaisuuden rakentaminen</w:t>
            </w: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spacing w:val="0"/>
                <w:position w:val="0"/>
                <w:shd w:fill="auto" w:val="clear"/>
              </w:rPr>
            </w:pPr>
          </w:p>
        </w:tc>
      </w:tr>
      <w:tr>
        <w:trPr>
          <w:trHeight w:val="480" w:hRule="auto"/>
          <w:jc w:val="left"/>
        </w:trPr>
        <w:tc>
          <w:tcPr>
            <w:tcW w:w="259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9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00" w:hRule="auto"/>
          <w:jc w:val="left"/>
        </w:trPr>
        <w:tc>
          <w:tcPr>
            <w:tcW w:w="259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spacing w:val="0"/>
                <w:position w:val="0"/>
                <w:sz w:val="22"/>
                <w:shd w:fill="auto" w:val="clear"/>
              </w:rPr>
            </w:pPr>
          </w:p>
        </w:tc>
        <w:tc>
          <w:tcPr>
            <w:tcW w:w="460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9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40" w:hRule="auto"/>
          <w:jc w:val="left"/>
        </w:trPr>
        <w:tc>
          <w:tcPr>
            <w:tcW w:w="259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9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40" w:hRule="auto"/>
          <w:jc w:val="left"/>
        </w:trPr>
        <w:tc>
          <w:tcPr>
            <w:tcW w:w="259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9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40" w:hRule="auto"/>
          <w:jc w:val="left"/>
        </w:trPr>
        <w:tc>
          <w:tcPr>
            <w:tcW w:w="259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0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9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Calibri" w:hAnsi="Calibri" w:cs="Calibri" w:eastAsia="Calibri"/>
          <w:color w:val="000000"/>
          <w:spacing w:val="0"/>
          <w:position w:val="0"/>
          <w:sz w:val="22"/>
          <w:u w:val="single"/>
          <w:shd w:fill="auto" w:val="clear"/>
        </w:rPr>
      </w:pPr>
    </w:p>
    <w:tbl>
      <w:tblPr/>
      <w:tblGrid>
        <w:gridCol w:w="5804"/>
        <w:gridCol w:w="414"/>
      </w:tblGrid>
      <w:tr>
        <w:trPr>
          <w:trHeight w:val="1" w:hRule="atLeast"/>
          <w:jc w:val="left"/>
        </w:trPr>
        <w:tc>
          <w:tcPr>
            <w:tcW w:w="580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mbria" w:hAnsi="Cambria" w:cs="Cambria" w:eastAsia="Cambria"/>
                <w:b/>
                <w:color w:val="44546A"/>
                <w:spacing w:val="0"/>
                <w:position w:val="0"/>
                <w:sz w:val="28"/>
                <w:u w:val="single"/>
                <w:shd w:fill="auto" w:val="clear"/>
              </w:rPr>
              <w:t xml:space="preserve">                          Arviointi</w:t>
            </w: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Elämänkatsomustiedon arviointi perustuu työskentelyn havainnointiin ja keskusteluihin ja argumentaatioon sekä oppilaiden monimuotoisten tuotosten tarkasteluun. Tuotosten sisällön lisäksi arvioidaan opiskeluprosessia ja työn eri vaiheita kuten kysymysten muodostamista, perusteluiden rakentamista, aiheen rajaamista, tiedonhakua, näkökulmien perustelemista, käsitteiden käyttöä, ilmaisun selkeyttä ja työn loppuun saattamista. Oppilaiden itsearviointia ja vertaispalautetta käytetään arvioinnin tukena. </w:t>
            </w:r>
          </w:p>
          <w:p>
            <w:pPr>
              <w:spacing w:before="0" w:after="0" w:line="240"/>
              <w:ind w:right="0" w:left="0" w:firstLine="0"/>
              <w:jc w:val="left"/>
              <w:rPr>
                <w:spacing w:val="0"/>
                <w:position w:val="0"/>
                <w:shd w:fill="auto" w:val="clear"/>
              </w:rPr>
            </w:pPr>
          </w:p>
        </w:tc>
      </w:tr>
      <w:tr>
        <w:trPr>
          <w:trHeight w:val="2580" w:hRule="auto"/>
          <w:jc w:val="left"/>
        </w:trPr>
        <w:tc>
          <w:tcPr>
            <w:tcW w:w="580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mbria" w:hAnsi="Cambria" w:cs="Cambria" w:eastAsia="Cambria"/>
                <w:b/>
                <w:color w:val="44546A"/>
                <w:spacing w:val="0"/>
                <w:position w:val="0"/>
                <w:sz w:val="24"/>
                <w:u w:val="single"/>
                <w:shd w:fill="auto" w:val="clear"/>
              </w:rPr>
              <w:t xml:space="preserve">Hyvä osaaminen (8)</w:t>
            </w:r>
          </w:p>
          <w:p>
            <w:pPr>
              <w:spacing w:before="0" w:after="0" w:line="240"/>
              <w:ind w:right="0" w:left="0" w:firstLine="0"/>
              <w:jc w:val="left"/>
              <w:rPr>
                <w:spacing w:val="0"/>
                <w:position w:val="0"/>
                <w:shd w:fill="auto" w:val="clear"/>
              </w:rPr>
            </w:pPr>
            <w:r>
              <w:rPr>
                <w:rFonts w:ascii="Cambria" w:hAnsi="Cambria" w:cs="Cambria" w:eastAsia="Cambria"/>
                <w:color w:val="44546A"/>
                <w:spacing w:val="0"/>
                <w:position w:val="0"/>
                <w:sz w:val="24"/>
                <w:u w:val="single"/>
                <w:shd w:fill="auto" w:val="clear"/>
              </w:rPr>
              <w:t xml:space="preserve">otetaan suoraan valtakunnan opsista                                     </w:t>
            </w:r>
          </w:p>
        </w:tc>
        <w:tc>
          <w:tcPr>
            <w:tcW w:w="41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44546A"/>
                <w:spacing w:val="0"/>
                <w:position w:val="0"/>
                <w:sz w:val="24"/>
                <w:u w:val="single"/>
                <w:shd w:fill="auto" w:val="clear"/>
              </w:rPr>
              <w:t xml:space="preserve">  </w:t>
            </w:r>
          </w:p>
        </w:tc>
      </w:tr>
      <w:tr>
        <w:trPr>
          <w:trHeight w:val="60" w:hRule="auto"/>
          <w:jc w:val="left"/>
        </w:trPr>
        <w:tc>
          <w:tcPr>
            <w:tcW w:w="580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Calibri" w:hAnsi="Calibri" w:cs="Calibri" w:eastAsia="Calibri"/>
          <w:color w:val="000000"/>
          <w:spacing w:val="0"/>
          <w:position w:val="0"/>
          <w:sz w:val="22"/>
          <w:u w:val="single"/>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